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D4" w:rsidRDefault="00170BD4"/>
    <w:p w:rsidR="00170BD4" w:rsidRDefault="00170BD4">
      <w:pPr>
        <w:pStyle w:val="Heading1"/>
        <w:jc w:val="center"/>
        <w:rPr>
          <w:rFonts w:ascii="Calibri" w:hAnsi="Calibri" w:cs="Calibri"/>
          <w:color w:val="auto"/>
          <w:sz w:val="32"/>
          <w:szCs w:val="32"/>
        </w:rPr>
      </w:pPr>
      <w:r>
        <w:rPr>
          <w:rFonts w:ascii="Calibri" w:hAnsi="Calibri" w:cs="Calibri"/>
          <w:color w:val="auto"/>
          <w:sz w:val="32"/>
          <w:szCs w:val="32"/>
        </w:rPr>
        <w:t xml:space="preserve">Executive Summary </w:t>
      </w:r>
    </w:p>
    <w:p w:rsidR="00170BD4" w:rsidRDefault="00170BD4">
      <w:pPr>
        <w:pStyle w:val="Heading2"/>
        <w:rPr>
          <w:rFonts w:ascii="Calibri" w:hAnsi="Calibri" w:cs="Calibri"/>
          <w:i w:val="0"/>
          <w:iCs w:val="0"/>
        </w:rPr>
      </w:pPr>
      <w:r>
        <w:rPr>
          <w:rFonts w:ascii="Calibri" w:hAnsi="Calibri" w:cs="Calibri"/>
          <w:i w:val="0"/>
          <w:iCs w:val="0"/>
        </w:rPr>
        <w:t>AP-05 Executive Summary - 24 CFR 91.200(c), 91.220(b)</w:t>
      </w:r>
    </w:p>
    <w:p w:rsidR="00170BD4" w:rsidRDefault="00170BD4">
      <w:pPr>
        <w:rPr>
          <w:b/>
          <w:bCs/>
          <w:sz w:val="24"/>
          <w:szCs w:val="24"/>
        </w:rPr>
      </w:pPr>
      <w:r>
        <w:rPr>
          <w:b/>
          <w:bCs/>
          <w:sz w:val="24"/>
          <w:szCs w:val="24"/>
        </w:rPr>
        <w:t>1.</w:t>
      </w:r>
      <w:r>
        <w:rPr>
          <w:b/>
          <w:bCs/>
          <w:sz w:val="24"/>
          <w:szCs w:val="24"/>
        </w:rPr>
        <w:tab/>
        <w:t>Introduction</w:t>
      </w:r>
    </w:p>
    <w:p w:rsidR="00170BD4" w:rsidRPr="00B002C6" w:rsidRDefault="00170BD4" w:rsidP="00107844">
      <w:pPr>
        <w:jc w:val="both"/>
      </w:pPr>
      <w:r w:rsidRPr="00B002C6">
        <w:t xml:space="preserve">The City of Norwich, CT hereby submits the Fiscal Year (FY) </w:t>
      </w:r>
      <w:r>
        <w:t>2013-2014</w:t>
      </w:r>
      <w:r w:rsidRPr="00B002C6">
        <w:t xml:space="preserve"> Consolidated Annual Action Plan to the U.S. Department of Housing &amp; Urban Development (HUD).  </w:t>
      </w:r>
    </w:p>
    <w:p w:rsidR="00170BD4" w:rsidRPr="00B002C6" w:rsidRDefault="00170BD4" w:rsidP="00107844">
      <w:pPr>
        <w:jc w:val="both"/>
      </w:pPr>
      <w:r w:rsidRPr="00B002C6">
        <w:t xml:space="preserve">This is the </w:t>
      </w:r>
      <w:r>
        <w:t>Fourth year</w:t>
      </w:r>
      <w:r w:rsidRPr="00B002C6">
        <w:t xml:space="preserve"> of the City’s 5-year Consolidated Plan.  This Annual Action Plan is an implementation strategy for FY </w:t>
      </w:r>
      <w:r>
        <w:t>2013-2014</w:t>
      </w:r>
      <w:r w:rsidRPr="00B002C6">
        <w:t xml:space="preserve"> designed to address the City’s priority community development and housing needs as identified through its Citizen Participation process.  In accordance with HUD regulations under Title 24 of the Code of Federal Regulations (24 CFR), the City receives Consolidated Plan Grant funds under the Community Development Block Grant (CDBG) entitlement program.</w:t>
      </w:r>
    </w:p>
    <w:p w:rsidR="00170BD4" w:rsidRPr="00B002C6" w:rsidRDefault="00170BD4" w:rsidP="00107844">
      <w:pPr>
        <w:jc w:val="both"/>
      </w:pPr>
      <w:r w:rsidRPr="00B002C6">
        <w:t xml:space="preserve">The annual allocation from the U.S. Congress to the City of Norwich is </w:t>
      </w:r>
      <w:r>
        <w:t xml:space="preserve">  </w:t>
      </w:r>
      <w:r w:rsidRPr="00B002C6">
        <w:t>$</w:t>
      </w:r>
      <w:r w:rsidRPr="0088260B">
        <w:t>678,735</w:t>
      </w:r>
      <w:r w:rsidRPr="00B002C6">
        <w:t xml:space="preserve">.  </w:t>
      </w:r>
      <w:r>
        <w:t xml:space="preserve">The City receives </w:t>
      </w:r>
      <w:r w:rsidRPr="00AE1D27">
        <w:t>approximately $71,000</w:t>
      </w:r>
      <w:r>
        <w:t xml:space="preserve"> in revolving loan income through the </w:t>
      </w:r>
      <w:r w:rsidRPr="008A2852">
        <w:rPr>
          <w:i/>
          <w:iCs/>
        </w:rPr>
        <w:t>Property Rehabilitation Loan</w:t>
      </w:r>
      <w:r>
        <w:t xml:space="preserve"> program.  However, the City disburses these “return of loan revolving funds” directly to Property Rehabilitation projects prior to using any Property Rehabilitation entitlement funds. In addition, we anticipate projects may “fall-back” as a result of project de-obligation.  Since we cannot predict or estimate these additional funds we have not included the number as part of our annual allocation.  However, the City will reallocate any funds using the proper procedures located within our Citizen Participation Plan.  This process is in compliance with 24 CFR, part 91. </w:t>
      </w:r>
      <w:r w:rsidRPr="00B002C6">
        <w:t>The City of Norwich will utilize these funds to address the following priority needs that are specific to the Consolidated Plan:</w:t>
      </w:r>
    </w:p>
    <w:p w:rsidR="00170BD4" w:rsidRPr="00B002C6" w:rsidRDefault="00170BD4" w:rsidP="00107844">
      <w:pPr>
        <w:numPr>
          <w:ilvl w:val="0"/>
          <w:numId w:val="20"/>
        </w:numPr>
        <w:tabs>
          <w:tab w:val="clear" w:pos="780"/>
          <w:tab w:val="num" w:pos="540"/>
        </w:tabs>
        <w:spacing w:after="0" w:line="240" w:lineRule="auto"/>
        <w:ind w:left="540"/>
        <w:jc w:val="both"/>
      </w:pPr>
      <w:r w:rsidRPr="00B002C6">
        <w:t xml:space="preserve">Provide Safe, Decent, Affordable Housing </w:t>
      </w:r>
    </w:p>
    <w:p w:rsidR="00170BD4" w:rsidRPr="00B002C6" w:rsidRDefault="00170BD4" w:rsidP="00107844">
      <w:pPr>
        <w:numPr>
          <w:ilvl w:val="0"/>
          <w:numId w:val="20"/>
        </w:numPr>
        <w:tabs>
          <w:tab w:val="clear" w:pos="780"/>
          <w:tab w:val="num" w:pos="540"/>
        </w:tabs>
        <w:spacing w:after="0" w:line="240" w:lineRule="auto"/>
        <w:ind w:left="540"/>
        <w:jc w:val="both"/>
      </w:pPr>
      <w:r w:rsidRPr="00B002C6">
        <w:t>Support Public Service Programs Promoting Self-Sufficiency, Health &amp; Safety</w:t>
      </w:r>
    </w:p>
    <w:p w:rsidR="00170BD4" w:rsidRPr="00B002C6" w:rsidRDefault="00170BD4" w:rsidP="00107844">
      <w:pPr>
        <w:numPr>
          <w:ilvl w:val="0"/>
          <w:numId w:val="20"/>
        </w:numPr>
        <w:tabs>
          <w:tab w:val="clear" w:pos="780"/>
          <w:tab w:val="num" w:pos="540"/>
        </w:tabs>
        <w:spacing w:after="0" w:line="240" w:lineRule="auto"/>
        <w:ind w:left="540"/>
        <w:jc w:val="both"/>
      </w:pPr>
      <w:r w:rsidRPr="00B002C6">
        <w:t>Upgrade Facilities that Serve Low Income Populations &amp; Neighborhoods</w:t>
      </w:r>
    </w:p>
    <w:p w:rsidR="00170BD4" w:rsidRDefault="00170BD4" w:rsidP="00107844">
      <w:pPr>
        <w:jc w:val="both"/>
      </w:pPr>
    </w:p>
    <w:p w:rsidR="00170BD4" w:rsidRDefault="00170BD4" w:rsidP="00107844">
      <w:pPr>
        <w:jc w:val="both"/>
      </w:pPr>
      <w:r w:rsidRPr="00B002C6">
        <w:t xml:space="preserve">All available funds budgeted for FY </w:t>
      </w:r>
      <w:r>
        <w:t>2013-2014</w:t>
      </w:r>
      <w:r w:rsidRPr="00B002C6">
        <w:t xml:space="preserve"> are targeted to meet the needs of very low-to-moderate income residents, including but not limited to residential rehabilitation, energy conservation, temporary homeless</w:t>
      </w:r>
      <w:r>
        <w:t>ness</w:t>
      </w:r>
      <w:r w:rsidRPr="00B002C6">
        <w:t xml:space="preserve"> assistance, job training, </w:t>
      </w:r>
      <w:r>
        <w:t xml:space="preserve">job creation, </w:t>
      </w:r>
      <w:r w:rsidRPr="00B002C6">
        <w:t>assisting individuals with limited Eng</w:t>
      </w:r>
      <w:r>
        <w:t>lish proficiency,</w:t>
      </w:r>
      <w:r w:rsidRPr="00B002C6">
        <w:t xml:space="preserve"> access to youth </w:t>
      </w:r>
      <w:r>
        <w:t>development</w:t>
      </w:r>
      <w:r w:rsidRPr="00B002C6">
        <w:t xml:space="preserve"> activities, </w:t>
      </w:r>
      <w:r>
        <w:t>enhanced safety supports for protected populations</w:t>
      </w:r>
      <w:r w:rsidRPr="00B002C6">
        <w:t>, wellness supports, and improving facilities that serve very low income neighborhoods.</w:t>
      </w:r>
    </w:p>
    <w:p w:rsidR="00170BD4" w:rsidRDefault="00170BD4" w:rsidP="00107844">
      <w:pPr>
        <w:jc w:val="both"/>
      </w:pPr>
      <w:r w:rsidRPr="00B12107">
        <w:t xml:space="preserve">The </w:t>
      </w:r>
      <w:r>
        <w:t>City will continue its focus on the 3 pinnacle</w:t>
      </w:r>
      <w:r w:rsidRPr="00B12107">
        <w:t xml:space="preserve"> priorities and objectives during the next year.  We will work to (1) Provide Decent Affordable Housing by </w:t>
      </w:r>
      <w:r>
        <w:t>managing programs that stabilize neighborhoods through the pro</w:t>
      </w:r>
      <w:r w:rsidRPr="00B12107">
        <w:t>mot</w:t>
      </w:r>
      <w:r>
        <w:t>ion of</w:t>
      </w:r>
      <w:r w:rsidRPr="00B12107">
        <w:t xml:space="preserve"> code improvement and energy efficient housing; (2) Create a Suitable Living Environment by focusing on activities working to address quality of life issues that encourage collaboration and foster a sense of community on a city-wide scale; and (3) Expand Economic Opportunities for Low-to-Moderate Income Residents by supporting programs that incre</w:t>
      </w:r>
      <w:r>
        <w:t>ase self-sufficiency and residents’ stability</w:t>
      </w:r>
      <w:r w:rsidRPr="00B12107">
        <w:t xml:space="preserve">. </w:t>
      </w:r>
    </w:p>
    <w:p w:rsidR="00170BD4" w:rsidRDefault="00170BD4">
      <w:pPr>
        <w:rPr>
          <w:b/>
          <w:bCs/>
          <w:sz w:val="24"/>
          <w:szCs w:val="24"/>
        </w:rPr>
      </w:pPr>
      <w:r>
        <w:rPr>
          <w:b/>
          <w:bCs/>
          <w:sz w:val="24"/>
          <w:szCs w:val="24"/>
        </w:rPr>
        <w:t>2.</w:t>
      </w:r>
      <w:r>
        <w:rPr>
          <w:b/>
          <w:bCs/>
          <w:sz w:val="24"/>
          <w:szCs w:val="24"/>
        </w:rPr>
        <w:tab/>
        <w:t xml:space="preserve">Summarize the objectives and outcomes identified in the Plan  </w:t>
      </w:r>
    </w:p>
    <w:p w:rsidR="00170BD4" w:rsidRPr="00107844" w:rsidRDefault="00170BD4">
      <w:pPr>
        <w:rPr>
          <w:i/>
          <w:iCs/>
          <w:sz w:val="24"/>
          <w:szCs w:val="24"/>
        </w:rPr>
      </w:pPr>
      <w:r w:rsidRPr="00107844">
        <w:rPr>
          <w:i/>
          <w:iCs/>
          <w:sz w:val="24"/>
          <w:szCs w:val="24"/>
        </w:rPr>
        <w:t>This could be a restatement of items or a table listed elsewhere in the plan or a reference to another location.</w:t>
      </w:r>
      <w:r w:rsidRPr="00107844">
        <w:rPr>
          <w:i/>
          <w:iCs/>
        </w:rPr>
        <w:t xml:space="preserve"> </w:t>
      </w:r>
      <w:r w:rsidRPr="00107844">
        <w:rPr>
          <w:i/>
          <w:iCs/>
          <w:sz w:val="24"/>
          <w:szCs w:val="24"/>
        </w:rPr>
        <w:t>It may also contain any essential items from the housing and homeless needs assessment, the housing market analysis or the strategic plan.</w:t>
      </w:r>
    </w:p>
    <w:p w:rsidR="00170BD4" w:rsidRPr="00373410" w:rsidRDefault="00170BD4" w:rsidP="00107844">
      <w:r w:rsidRPr="00373410">
        <w:t>To achieve those objectives, the Office of Community Development has chosen outcomes that adequately measure the impact of our proposed activities:</w:t>
      </w:r>
    </w:p>
    <w:tbl>
      <w:tblPr>
        <w:tblW w:w="5640" w:type="dxa"/>
        <w:jc w:val="center"/>
        <w:tblLook w:val="0000"/>
      </w:tblPr>
      <w:tblGrid>
        <w:gridCol w:w="5640"/>
      </w:tblGrid>
      <w:tr w:rsidR="00170BD4" w:rsidRPr="00EC449F" w:rsidTr="00DD4EC3">
        <w:trPr>
          <w:trHeight w:val="270"/>
          <w:jc w:val="center"/>
        </w:trPr>
        <w:tc>
          <w:tcPr>
            <w:tcW w:w="5640" w:type="dxa"/>
            <w:tcBorders>
              <w:top w:val="single" w:sz="8" w:space="0" w:color="auto"/>
              <w:left w:val="single" w:sz="8" w:space="0" w:color="auto"/>
              <w:bottom w:val="single" w:sz="8" w:space="0" w:color="auto"/>
              <w:right w:val="single" w:sz="8" w:space="0" w:color="auto"/>
            </w:tcBorders>
            <w:noWrap/>
            <w:vAlign w:val="bottom"/>
          </w:tcPr>
          <w:p w:rsidR="00170BD4" w:rsidRPr="00EC449F" w:rsidRDefault="00170BD4" w:rsidP="00DD4EC3">
            <w:pPr>
              <w:jc w:val="center"/>
              <w:rPr>
                <w:rFonts w:ascii="Arial" w:hAnsi="Arial" w:cs="Arial"/>
                <w:i/>
                <w:iCs/>
                <w:sz w:val="21"/>
                <w:szCs w:val="21"/>
                <w:u w:val="single"/>
              </w:rPr>
            </w:pPr>
            <w:r w:rsidRPr="00EC449F">
              <w:rPr>
                <w:rFonts w:ascii="Arial" w:hAnsi="Arial" w:cs="Arial"/>
                <w:i/>
                <w:iCs/>
                <w:sz w:val="21"/>
                <w:szCs w:val="21"/>
                <w:u w:val="single"/>
              </w:rPr>
              <w:t>KEY OUTCOME MEASUREMENTS</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Housing Units become Code Compliance</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Reduction in Blight/Abandoned/Vacant Housing Units</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Increase in Property Values</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Reduction of People with a high cost burden</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Increase in Tax Revenues</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jobs created or retained</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participants improve employment</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participants increase financial self-sufficiency</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participants sustain financial self-sufficiency</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participants who become permanently housed</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Reduce #/% of repeat occurrences of domestic violence</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xml:space="preserve">#/% of disabled residents increase level of independence </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Youth diverted from Juvenille Justice System</w:t>
            </w:r>
          </w:p>
        </w:tc>
      </w:tr>
      <w:tr w:rsidR="00170BD4" w:rsidRPr="00EC449F" w:rsidTr="00DD4EC3">
        <w:trPr>
          <w:trHeight w:val="270"/>
          <w:jc w:val="center"/>
        </w:trPr>
        <w:tc>
          <w:tcPr>
            <w:tcW w:w="564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rFonts w:ascii="Arial" w:hAnsi="Arial" w:cs="Arial"/>
                <w:sz w:val="21"/>
                <w:szCs w:val="21"/>
              </w:rPr>
            </w:pPr>
            <w:r w:rsidRPr="00EC449F">
              <w:rPr>
                <w:rFonts w:ascii="Arial" w:hAnsi="Arial" w:cs="Arial"/>
                <w:sz w:val="21"/>
                <w:szCs w:val="21"/>
              </w:rPr>
              <w:t>#/% of Youth experience personal growth</w:t>
            </w:r>
          </w:p>
        </w:tc>
      </w:tr>
    </w:tbl>
    <w:p w:rsidR="00170BD4" w:rsidRPr="00373410" w:rsidRDefault="00170BD4" w:rsidP="00107844">
      <w:pPr>
        <w:rPr>
          <w:sz w:val="12"/>
          <w:szCs w:val="12"/>
        </w:rPr>
      </w:pPr>
    </w:p>
    <w:p w:rsidR="00170BD4" w:rsidRDefault="00170BD4">
      <w:pPr>
        <w:rPr>
          <w:b/>
          <w:bCs/>
          <w:sz w:val="24"/>
          <w:szCs w:val="24"/>
        </w:rPr>
      </w:pPr>
      <w:r w:rsidRPr="00373410">
        <w:t>In some cases, these outcomes extend the outcomes already tracked by each subrecipient</w:t>
      </w:r>
      <w:r>
        <w:t xml:space="preserve">.  </w:t>
      </w:r>
      <w:r w:rsidRPr="00373410">
        <w:t>We believe these outcomes will directly measure stabilization within the target areas, the neighborhood and the community as a whole.</w:t>
      </w:r>
    </w:p>
    <w:p w:rsidR="00170BD4" w:rsidRDefault="00170BD4">
      <w:pPr>
        <w:rPr>
          <w:b/>
          <w:bCs/>
          <w:sz w:val="24"/>
          <w:szCs w:val="24"/>
        </w:rPr>
      </w:pPr>
      <w:r>
        <w:rPr>
          <w:b/>
          <w:bCs/>
          <w:sz w:val="24"/>
          <w:szCs w:val="24"/>
        </w:rPr>
        <w:t>3.</w:t>
      </w:r>
      <w:r>
        <w:rPr>
          <w:b/>
          <w:bCs/>
          <w:sz w:val="24"/>
          <w:szCs w:val="24"/>
        </w:rPr>
        <w:tab/>
        <w:t xml:space="preserve">Evaluation of past performance </w:t>
      </w:r>
    </w:p>
    <w:p w:rsidR="00170BD4" w:rsidRPr="00107844" w:rsidRDefault="00170BD4">
      <w:pPr>
        <w:rPr>
          <w:i/>
          <w:iCs/>
          <w:sz w:val="24"/>
          <w:szCs w:val="24"/>
        </w:rPr>
      </w:pPr>
      <w:r w:rsidRPr="00107844">
        <w:rPr>
          <w:i/>
          <w:iCs/>
          <w:sz w:val="24"/>
          <w:szCs w:val="24"/>
        </w:rPr>
        <w:t>This is an evaluation of past performance that helped lead the grantee to choose its goals or projects.</w:t>
      </w:r>
    </w:p>
    <w:p w:rsidR="00170BD4" w:rsidRDefault="00170BD4" w:rsidP="00107844">
      <w:r>
        <w:t>In PY 2012 (formerly PY 38), subrecipients have been successful year-to-date in achieving goals based on needs defined in the Community Development Needs chart.  Those goals included:</w:t>
      </w:r>
    </w:p>
    <w:tbl>
      <w:tblPr>
        <w:tblW w:w="9340" w:type="dxa"/>
        <w:jc w:val="center"/>
        <w:tblLook w:val="0000"/>
      </w:tblPr>
      <w:tblGrid>
        <w:gridCol w:w="6460"/>
        <w:gridCol w:w="1380"/>
        <w:gridCol w:w="1500"/>
      </w:tblGrid>
      <w:tr w:rsidR="00170BD4" w:rsidRPr="00710688" w:rsidTr="00DD4EC3">
        <w:trPr>
          <w:trHeight w:val="300"/>
          <w:jc w:val="center"/>
        </w:trPr>
        <w:tc>
          <w:tcPr>
            <w:tcW w:w="6460" w:type="dxa"/>
            <w:tcBorders>
              <w:top w:val="single" w:sz="8" w:space="0" w:color="auto"/>
              <w:left w:val="single" w:sz="8" w:space="0" w:color="auto"/>
              <w:bottom w:val="single" w:sz="8" w:space="0" w:color="auto"/>
              <w:right w:val="single" w:sz="8" w:space="0" w:color="auto"/>
            </w:tcBorders>
            <w:noWrap/>
            <w:vAlign w:val="bottom"/>
          </w:tcPr>
          <w:p w:rsidR="00170BD4" w:rsidRPr="00EC449F" w:rsidRDefault="00170BD4" w:rsidP="00DD4EC3">
            <w:pPr>
              <w:jc w:val="center"/>
              <w:rPr>
                <w:b/>
                <w:bCs/>
                <w:highlight w:val="yellow"/>
                <w:u w:val="single"/>
              </w:rPr>
            </w:pPr>
            <w:r w:rsidRPr="00EC449F">
              <w:rPr>
                <w:b/>
                <w:bCs/>
                <w:highlight w:val="yellow"/>
                <w:u w:val="single"/>
              </w:rPr>
              <w:t>Activity</w:t>
            </w:r>
          </w:p>
        </w:tc>
        <w:tc>
          <w:tcPr>
            <w:tcW w:w="1380" w:type="dxa"/>
            <w:tcBorders>
              <w:top w:val="single" w:sz="8" w:space="0" w:color="auto"/>
              <w:left w:val="nil"/>
              <w:bottom w:val="single" w:sz="8" w:space="0" w:color="auto"/>
              <w:right w:val="single" w:sz="8" w:space="0" w:color="auto"/>
            </w:tcBorders>
            <w:noWrap/>
            <w:vAlign w:val="bottom"/>
          </w:tcPr>
          <w:p w:rsidR="00170BD4" w:rsidRPr="00EC449F" w:rsidRDefault="00170BD4" w:rsidP="00DD4EC3">
            <w:pPr>
              <w:jc w:val="center"/>
              <w:rPr>
                <w:b/>
                <w:bCs/>
                <w:highlight w:val="yellow"/>
                <w:u w:val="single"/>
              </w:rPr>
            </w:pPr>
            <w:r w:rsidRPr="00EC449F">
              <w:rPr>
                <w:b/>
                <w:bCs/>
                <w:highlight w:val="yellow"/>
                <w:u w:val="single"/>
              </w:rPr>
              <w:t>Goal</w:t>
            </w:r>
          </w:p>
        </w:tc>
        <w:tc>
          <w:tcPr>
            <w:tcW w:w="1500" w:type="dxa"/>
            <w:tcBorders>
              <w:top w:val="single" w:sz="8" w:space="0" w:color="auto"/>
              <w:left w:val="nil"/>
              <w:bottom w:val="single" w:sz="8" w:space="0" w:color="auto"/>
              <w:right w:val="single" w:sz="8" w:space="0" w:color="auto"/>
            </w:tcBorders>
            <w:noWrap/>
            <w:vAlign w:val="bottom"/>
          </w:tcPr>
          <w:p w:rsidR="00170BD4" w:rsidRPr="00EC449F" w:rsidRDefault="00170BD4" w:rsidP="00DD4EC3">
            <w:pPr>
              <w:jc w:val="center"/>
              <w:rPr>
                <w:b/>
                <w:bCs/>
                <w:highlight w:val="yellow"/>
                <w:u w:val="single"/>
              </w:rPr>
            </w:pPr>
            <w:r w:rsidRPr="00EC449F">
              <w:rPr>
                <w:b/>
                <w:bCs/>
                <w:highlight w:val="yellow"/>
                <w:u w:val="single"/>
              </w:rPr>
              <w:t>3</w:t>
            </w:r>
            <w:r w:rsidRPr="00EC449F">
              <w:rPr>
                <w:b/>
                <w:bCs/>
                <w:highlight w:val="yellow"/>
                <w:u w:val="single"/>
                <w:vertAlign w:val="superscript"/>
              </w:rPr>
              <w:t>rd</w:t>
            </w:r>
            <w:r w:rsidRPr="00EC449F">
              <w:rPr>
                <w:b/>
                <w:bCs/>
                <w:highlight w:val="yellow"/>
                <w:u w:val="single"/>
              </w:rPr>
              <w:t xml:space="preserve"> Qtr </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Sidewalks - linear feet</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1692</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1692</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Fire Station/Community Facility Projects</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0</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Operating Cost Homeless Prgrm - Homeless Participants</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60</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66</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Public Services - Unduplicated participants</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5250</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4103</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Youth Services</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117</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88</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Employment/Training</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140</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91</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Rehab; Single-Unit</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12</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4</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Rehab; Multi-unit</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18</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6</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Public Housing Modernization</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18</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18</w:t>
            </w:r>
          </w:p>
        </w:tc>
      </w:tr>
      <w:tr w:rsidR="00170BD4" w:rsidRPr="00710688" w:rsidTr="00DD4EC3">
        <w:trPr>
          <w:trHeight w:val="300"/>
          <w:jc w:val="center"/>
        </w:trPr>
        <w:tc>
          <w:tcPr>
            <w:tcW w:w="6460" w:type="dxa"/>
            <w:tcBorders>
              <w:top w:val="nil"/>
              <w:left w:val="single" w:sz="8" w:space="0" w:color="auto"/>
              <w:bottom w:val="single" w:sz="8" w:space="0" w:color="auto"/>
              <w:right w:val="nil"/>
            </w:tcBorders>
            <w:noWrap/>
            <w:vAlign w:val="bottom"/>
          </w:tcPr>
          <w:p w:rsidR="00170BD4" w:rsidRPr="00EC449F" w:rsidRDefault="00170BD4" w:rsidP="00DD4EC3">
            <w:pPr>
              <w:rPr>
                <w:highlight w:val="yellow"/>
              </w:rPr>
            </w:pPr>
            <w:r w:rsidRPr="00EC449F">
              <w:rPr>
                <w:highlight w:val="yellow"/>
              </w:rPr>
              <w:t>Removal of Architectural Barriers</w:t>
            </w:r>
          </w:p>
        </w:tc>
        <w:tc>
          <w:tcPr>
            <w:tcW w:w="138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3</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3</w:t>
            </w:r>
          </w:p>
        </w:tc>
      </w:tr>
      <w:tr w:rsidR="00170BD4" w:rsidRPr="00BB557E" w:rsidTr="00DD4EC3">
        <w:trPr>
          <w:trHeight w:val="300"/>
          <w:jc w:val="center"/>
        </w:trPr>
        <w:tc>
          <w:tcPr>
            <w:tcW w:w="6460" w:type="dxa"/>
            <w:tcBorders>
              <w:top w:val="nil"/>
              <w:left w:val="single" w:sz="8" w:space="0" w:color="auto"/>
              <w:bottom w:val="single" w:sz="8" w:space="0" w:color="auto"/>
              <w:right w:val="nil"/>
            </w:tcBorders>
            <w:noWrap/>
            <w:vAlign w:val="bottom"/>
          </w:tcPr>
          <w:p w:rsidR="00170BD4" w:rsidRPr="00EC449F" w:rsidRDefault="00170BD4" w:rsidP="00DD4EC3">
            <w:pPr>
              <w:rPr>
                <w:highlight w:val="yellow"/>
              </w:rPr>
            </w:pPr>
            <w:r w:rsidRPr="00EC449F">
              <w:rPr>
                <w:highlight w:val="yellow"/>
              </w:rPr>
              <w:t>Battered and Abused Spouses</w:t>
            </w:r>
          </w:p>
        </w:tc>
        <w:tc>
          <w:tcPr>
            <w:tcW w:w="138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120</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28</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bookmarkStart w:id="0" w:name="OLE_LINK2"/>
            <w:r w:rsidRPr="00EC449F">
              <w:rPr>
                <w:highlight w:val="yellow"/>
              </w:rPr>
              <w:t>English for Speakers of Other Languages</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110</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127</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 xml:space="preserve">Norwich Police Department – Cameras </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12</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0</w:t>
            </w:r>
          </w:p>
        </w:tc>
      </w:tr>
      <w:tr w:rsidR="00170BD4" w:rsidRPr="00710688" w:rsidTr="00DD4EC3">
        <w:trPr>
          <w:trHeight w:val="300"/>
          <w:jc w:val="center"/>
        </w:trPr>
        <w:tc>
          <w:tcPr>
            <w:tcW w:w="6460" w:type="dxa"/>
            <w:tcBorders>
              <w:top w:val="nil"/>
              <w:left w:val="single" w:sz="8" w:space="0" w:color="auto"/>
              <w:bottom w:val="single" w:sz="8" w:space="0" w:color="auto"/>
              <w:right w:val="single" w:sz="8" w:space="0" w:color="auto"/>
            </w:tcBorders>
            <w:noWrap/>
            <w:vAlign w:val="bottom"/>
          </w:tcPr>
          <w:p w:rsidR="00170BD4" w:rsidRPr="00EC449F" w:rsidRDefault="00170BD4" w:rsidP="00DD4EC3">
            <w:pPr>
              <w:rPr>
                <w:highlight w:val="yellow"/>
              </w:rPr>
            </w:pPr>
            <w:r w:rsidRPr="00EC449F">
              <w:rPr>
                <w:highlight w:val="yellow"/>
              </w:rPr>
              <w:t xml:space="preserve">Economic Development/Job Creation </w:t>
            </w:r>
          </w:p>
        </w:tc>
        <w:tc>
          <w:tcPr>
            <w:tcW w:w="138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5</w:t>
            </w:r>
          </w:p>
        </w:tc>
        <w:tc>
          <w:tcPr>
            <w:tcW w:w="1500" w:type="dxa"/>
            <w:tcBorders>
              <w:top w:val="nil"/>
              <w:left w:val="nil"/>
              <w:bottom w:val="single" w:sz="8" w:space="0" w:color="auto"/>
              <w:right w:val="single" w:sz="8" w:space="0" w:color="auto"/>
            </w:tcBorders>
            <w:noWrap/>
            <w:vAlign w:val="bottom"/>
          </w:tcPr>
          <w:p w:rsidR="00170BD4" w:rsidRPr="00EC449F" w:rsidRDefault="00170BD4" w:rsidP="00DD4EC3">
            <w:pPr>
              <w:jc w:val="center"/>
              <w:rPr>
                <w:highlight w:val="yellow"/>
              </w:rPr>
            </w:pPr>
            <w:r w:rsidRPr="00EC449F">
              <w:rPr>
                <w:highlight w:val="yellow"/>
              </w:rPr>
              <w:t>1</w:t>
            </w:r>
          </w:p>
        </w:tc>
      </w:tr>
      <w:bookmarkEnd w:id="0"/>
    </w:tbl>
    <w:p w:rsidR="00170BD4" w:rsidRDefault="00170BD4" w:rsidP="00107844"/>
    <w:p w:rsidR="00170BD4" w:rsidRPr="006E05BA" w:rsidRDefault="00170BD4" w:rsidP="00107844">
      <w:r w:rsidRPr="006E05BA">
        <w:t xml:space="preserve">The </w:t>
      </w:r>
      <w:r w:rsidRPr="00EC449F">
        <w:rPr>
          <w:highlight w:val="yellow"/>
        </w:rPr>
        <w:t>City successfully added 1692 linear feet of sidewalks in targeted areas where there are high concentrations of pedestrians who use those areas for access to employment and food stores.  The Fire Department continued efforts to stabilize an historic fire house in a targeted LMI Census tract.  The building is also to be used as a community facility and at present, has hosted a series of neighborhood meetings.  Our winter shelter has aided homeless individuals through the most difficult months and programs have been successful in providing permanent housing to 27 individuals.  The overall public service programs assisted 4103 unduplicated clients and 88 youth participated in a multitude of organized activities centered on positive development and incarceration diversion.  Norwich currently has a 9.2% unemployment rate.  In order to reduce that rate, jobs and a talented workforce are required. In PY 38 to date, 91 individuals participated in training and education programs.  The Economic Development Program completed policies and procedures.  Even with limited marketing, the program has one business closing in April and 2 additional businesses in underwriting.  Anticipated closing dates if approved will be in May.</w:t>
      </w:r>
    </w:p>
    <w:p w:rsidR="00170BD4" w:rsidRDefault="00170BD4">
      <w:pPr>
        <w:rPr>
          <w:b/>
          <w:bCs/>
          <w:sz w:val="24"/>
          <w:szCs w:val="24"/>
        </w:rPr>
      </w:pPr>
      <w:r>
        <w:rPr>
          <w:b/>
          <w:bCs/>
          <w:sz w:val="24"/>
          <w:szCs w:val="24"/>
        </w:rPr>
        <w:t>4.</w:t>
      </w:r>
      <w:r>
        <w:rPr>
          <w:b/>
          <w:bCs/>
          <w:sz w:val="24"/>
          <w:szCs w:val="24"/>
        </w:rPr>
        <w:tab/>
        <w:t xml:space="preserve">Summary of Citizen Participation Process and consultation process </w:t>
      </w:r>
    </w:p>
    <w:p w:rsidR="00170BD4" w:rsidRDefault="00170BD4">
      <w:pPr>
        <w:rPr>
          <w:i/>
          <w:iCs/>
          <w:sz w:val="24"/>
          <w:szCs w:val="24"/>
        </w:rPr>
      </w:pPr>
      <w:r w:rsidRPr="00107844">
        <w:rPr>
          <w:i/>
          <w:iCs/>
          <w:sz w:val="24"/>
          <w:szCs w:val="24"/>
        </w:rPr>
        <w:t>Summary from citizen participation section of plan.</w:t>
      </w:r>
    </w:p>
    <w:p w:rsidR="00170BD4" w:rsidRPr="000F2810" w:rsidRDefault="00170BD4" w:rsidP="005D550A">
      <w:pPr>
        <w:autoSpaceDE w:val="0"/>
        <w:autoSpaceDN w:val="0"/>
        <w:adjustRightInd w:val="0"/>
        <w:jc w:val="both"/>
      </w:pPr>
      <w:r w:rsidRPr="000F2810">
        <w:t>The City of Norwich’s Citizen Participation Plan is available online at:</w:t>
      </w:r>
    </w:p>
    <w:p w:rsidR="00170BD4" w:rsidRPr="000F2810" w:rsidRDefault="00170BD4" w:rsidP="005D550A">
      <w:pPr>
        <w:autoSpaceDE w:val="0"/>
        <w:autoSpaceDN w:val="0"/>
        <w:adjustRightInd w:val="0"/>
        <w:jc w:val="both"/>
      </w:pPr>
      <w:hyperlink r:id="rId7" w:history="1">
        <w:r w:rsidRPr="0080687F">
          <w:rPr>
            <w:rStyle w:val="Hyperlink"/>
          </w:rPr>
          <w:t>http://www.norwichct.org/communitydevelopment</w:t>
        </w:r>
      </w:hyperlink>
      <w:r w:rsidRPr="0080687F">
        <w:t xml:space="preserve"> </w:t>
      </w:r>
      <w:r>
        <w:t>a</w:t>
      </w:r>
      <w:r w:rsidRPr="0080687F">
        <w:t>nd is available to citizens by</w:t>
      </w:r>
      <w:r w:rsidRPr="000F2810">
        <w:t xml:space="preserve"> request. The citizen participation process follows HUD’s guidelines and regulations to afford all citizens, particularly those living in low income neighborhoods and other special needs populations, with the opportunity to participate in CDBG planning.</w:t>
      </w:r>
    </w:p>
    <w:p w:rsidR="00170BD4" w:rsidRPr="000F2810" w:rsidRDefault="00170BD4" w:rsidP="005D550A">
      <w:pPr>
        <w:autoSpaceDE w:val="0"/>
        <w:autoSpaceDN w:val="0"/>
        <w:adjustRightInd w:val="0"/>
        <w:jc w:val="both"/>
      </w:pPr>
      <w:r w:rsidRPr="000F2810">
        <w:t>As excerpted from the CPP, the City of Norwich followed the following process:</w:t>
      </w:r>
    </w:p>
    <w:p w:rsidR="00170BD4" w:rsidRPr="000F2810" w:rsidRDefault="00170BD4" w:rsidP="005D550A">
      <w:pPr>
        <w:pStyle w:val="EnvelopeReturn"/>
        <w:jc w:val="center"/>
        <w:rPr>
          <w:rFonts w:ascii="Algerian" w:hAnsi="Algerian" w:cs="Algerian"/>
          <w:b/>
          <w:bCs/>
          <w:sz w:val="28"/>
          <w:szCs w:val="28"/>
        </w:rPr>
      </w:pPr>
      <w:r w:rsidRPr="000F2810">
        <w:rPr>
          <w:rFonts w:ascii="Algerian" w:hAnsi="Algerian" w:cs="Algerian"/>
          <w:b/>
          <w:bCs/>
          <w:sz w:val="28"/>
          <w:szCs w:val="28"/>
        </w:rPr>
        <w:t>ANNUAL ACTION PLAN PROCESS</w:t>
      </w:r>
    </w:p>
    <w:p w:rsidR="00170BD4" w:rsidRPr="000F2810" w:rsidRDefault="00170BD4" w:rsidP="005D550A">
      <w:pPr>
        <w:jc w:val="both"/>
      </w:pPr>
      <w:r w:rsidRPr="000F2810">
        <w:t xml:space="preserve">As part of 24 CFR Part 91, the City of Norwich is required to develop an annual Action Plan that details the projects to be undertaken with CDBG funds for the upcoming year.  The following steps must be taken with the development of the </w:t>
      </w:r>
      <w:r w:rsidRPr="000F2810">
        <w:rPr>
          <w:i/>
          <w:iCs/>
        </w:rPr>
        <w:t>Annual Action Plan</w:t>
      </w:r>
      <w:r w:rsidRPr="000F2810">
        <w:t>.</w:t>
      </w:r>
    </w:p>
    <w:p w:rsidR="00170BD4" w:rsidRPr="000F2810" w:rsidRDefault="00170BD4" w:rsidP="005D550A">
      <w:pPr>
        <w:numPr>
          <w:ilvl w:val="0"/>
          <w:numId w:val="23"/>
        </w:numPr>
        <w:spacing w:after="0" w:line="240" w:lineRule="auto"/>
        <w:jc w:val="both"/>
      </w:pPr>
      <w:r w:rsidRPr="000F2810">
        <w:t xml:space="preserve">A Request For Proposals will be published in the local newspaper in January for applicants eligible to apply for CDBG funds. Funding applications will be made available to the public at the Office of Community Development and on the Community Development page on the City website; </w:t>
      </w:r>
      <w:r w:rsidRPr="000F2810">
        <w:rPr>
          <w:u w:val="single"/>
        </w:rPr>
        <w:t>www.norwichct.org</w:t>
      </w:r>
      <w:r w:rsidRPr="000F2810">
        <w:rPr>
          <w:i/>
          <w:iCs/>
        </w:rPr>
        <w:t>.</w:t>
      </w:r>
      <w:r w:rsidRPr="000F2810">
        <w:t xml:space="preserve">  Staff will review the applications received</w:t>
      </w:r>
      <w:r>
        <w:t xml:space="preserve"> by the application deadline in or around March</w:t>
      </w:r>
      <w:r w:rsidRPr="000F2810">
        <w:t xml:space="preserve"> for compliance and eligibility.  Categories may be limited if the CDAC chooses to focus funds on activities identified as great needs</w:t>
      </w:r>
      <w:r w:rsidRPr="000F2810">
        <w:br/>
      </w:r>
    </w:p>
    <w:p w:rsidR="00170BD4" w:rsidRPr="008A7121" w:rsidRDefault="00170BD4" w:rsidP="005D550A">
      <w:pPr>
        <w:numPr>
          <w:ilvl w:val="0"/>
          <w:numId w:val="23"/>
        </w:numPr>
        <w:spacing w:after="0" w:line="240" w:lineRule="auto"/>
      </w:pPr>
      <w:r w:rsidRPr="008A7121">
        <w:t>The CDAC will hold at least two meetings open to the public after the applications are due but prior to deliberati</w:t>
      </w:r>
      <w:r>
        <w:t>ons. At least one public meeting</w:t>
      </w:r>
      <w:r w:rsidRPr="008A7121">
        <w:t xml:space="preserve"> will be in the evening</w:t>
      </w:r>
      <w:r>
        <w:t xml:space="preserve"> and at least one public meeting</w:t>
      </w:r>
      <w:r w:rsidRPr="008A7121">
        <w:t xml:space="preserve"> will be in the afternoon. These two general public meetings will be held at Norwich City Hall or in public place that is accessible to all residents and all applicants </w:t>
      </w:r>
      <w:r>
        <w:t>will be notified of the meetings</w:t>
      </w:r>
      <w:r w:rsidRPr="008A7121">
        <w:t xml:space="preserve"> by the Office of Community Development.  </w:t>
      </w:r>
    </w:p>
    <w:p w:rsidR="00170BD4" w:rsidRPr="008A7121" w:rsidRDefault="00170BD4" w:rsidP="005D550A">
      <w:pPr>
        <w:numPr>
          <w:ilvl w:val="1"/>
          <w:numId w:val="23"/>
        </w:numPr>
        <w:spacing w:after="0" w:line="240" w:lineRule="auto"/>
      </w:pPr>
      <w:r w:rsidRPr="008A7121">
        <w:t xml:space="preserve">An additional public hearing will take place at the meeting of the Norwich City Council prior to the date the City Council is scheduled to vote on expenditures for the Annual Action Plan (Action Plan). Notice for all public hearings will be published a minimum of 14 days in advance.  </w:t>
      </w:r>
    </w:p>
    <w:p w:rsidR="00170BD4" w:rsidRDefault="00170BD4" w:rsidP="005D550A">
      <w:pPr>
        <w:numPr>
          <w:ilvl w:val="1"/>
          <w:numId w:val="23"/>
        </w:numPr>
        <w:spacing w:after="0" w:line="240" w:lineRule="auto"/>
        <w:rPr>
          <w:rFonts w:ascii="Times New Roman" w:hAnsi="Times New Roman" w:cs="Times New Roman"/>
        </w:rPr>
      </w:pPr>
      <w:r w:rsidRPr="008A7121">
        <w:t>The City will consider any comments or views of citizens received in writing, or orally at the public hearing(s), in preparing the final consolidated plan.  A summary of these comments or views, and a summary of any comments or views not accepted and the reasons therefore, shall be attached to the final Action plan</w:t>
      </w:r>
      <w:r>
        <w:rPr>
          <w:rFonts w:ascii="Times New Roman" w:hAnsi="Times New Roman" w:cs="Times New Roman"/>
        </w:rPr>
        <w:t>.</w:t>
      </w:r>
    </w:p>
    <w:p w:rsidR="00170BD4" w:rsidRPr="000F2810" w:rsidRDefault="00170BD4" w:rsidP="005D550A">
      <w:pPr>
        <w:numPr>
          <w:ilvl w:val="0"/>
          <w:numId w:val="23"/>
        </w:numPr>
        <w:spacing w:after="0" w:line="240" w:lineRule="auto"/>
        <w:jc w:val="both"/>
      </w:pPr>
      <w:r w:rsidRPr="000F2810">
        <w:t>The Office of Community Development will provide technical assistance to groups representing persons of low-and moderate-income that request such assistance in writing applications in response to the City’s Annual Request for Proposals.</w:t>
      </w:r>
    </w:p>
    <w:p w:rsidR="00170BD4" w:rsidRPr="000F2810" w:rsidRDefault="00170BD4" w:rsidP="005D550A">
      <w:pPr>
        <w:numPr>
          <w:ilvl w:val="0"/>
          <w:numId w:val="23"/>
        </w:numPr>
        <w:spacing w:after="0" w:line="240" w:lineRule="auto"/>
        <w:jc w:val="both"/>
      </w:pPr>
      <w:r w:rsidRPr="000F2810">
        <w:t xml:space="preserve">The Office of Community Development will prepare a draft of the Annual Action Plan.  The draft will be made available for citizen comment 30 days prior to Council approval. The availability of the draft Plan will be published in the </w:t>
      </w:r>
      <w:r w:rsidRPr="000F2810">
        <w:rPr>
          <w:i/>
          <w:iCs/>
        </w:rPr>
        <w:t>Norwich Bulletin</w:t>
      </w:r>
      <w:r w:rsidRPr="000F2810">
        <w:t xml:space="preserve"> at the beginning of the comment period. A summary of any comments received at the public hearing and during the comment period will be attached to the Action Plan.</w:t>
      </w:r>
    </w:p>
    <w:p w:rsidR="00170BD4" w:rsidRPr="000F2810" w:rsidRDefault="00170BD4" w:rsidP="005D550A">
      <w:pPr>
        <w:autoSpaceDE w:val="0"/>
        <w:autoSpaceDN w:val="0"/>
        <w:adjustRightInd w:val="0"/>
      </w:pPr>
    </w:p>
    <w:p w:rsidR="00170BD4" w:rsidRPr="000F2810" w:rsidRDefault="00170BD4" w:rsidP="005D550A">
      <w:pPr>
        <w:autoSpaceDE w:val="0"/>
        <w:autoSpaceDN w:val="0"/>
        <w:adjustRightInd w:val="0"/>
        <w:jc w:val="both"/>
      </w:pPr>
      <w:r w:rsidRPr="000F2810">
        <w:t xml:space="preserve">In keeping with the aforementioned participation plan, the City of Norwich held two public meetings prior to the CDAC’s deliberation: </w:t>
      </w:r>
    </w:p>
    <w:p w:rsidR="00170BD4" w:rsidRPr="000F2810" w:rsidRDefault="00170BD4" w:rsidP="005D550A">
      <w:pPr>
        <w:numPr>
          <w:ilvl w:val="0"/>
          <w:numId w:val="21"/>
        </w:numPr>
        <w:autoSpaceDE w:val="0"/>
        <w:autoSpaceDN w:val="0"/>
        <w:adjustRightInd w:val="0"/>
        <w:spacing w:after="0" w:line="240" w:lineRule="auto"/>
        <w:jc w:val="both"/>
      </w:pPr>
      <w:r>
        <w:t>April 19</w:t>
      </w:r>
      <w:r w:rsidRPr="000F2810">
        <w:rPr>
          <w:vertAlign w:val="superscript"/>
        </w:rPr>
        <w:t>th</w:t>
      </w:r>
      <w:r w:rsidRPr="000F2810">
        <w:t xml:space="preserve">, </w:t>
      </w:r>
      <w:r>
        <w:t>3:3</w:t>
      </w:r>
      <w:r w:rsidRPr="000F2810">
        <w:t>0 P.M. at 23 Union Street</w:t>
      </w:r>
    </w:p>
    <w:p w:rsidR="00170BD4" w:rsidRPr="000F2810" w:rsidRDefault="00170BD4" w:rsidP="005D550A">
      <w:pPr>
        <w:numPr>
          <w:ilvl w:val="0"/>
          <w:numId w:val="21"/>
        </w:numPr>
        <w:autoSpaceDE w:val="0"/>
        <w:autoSpaceDN w:val="0"/>
        <w:adjustRightInd w:val="0"/>
        <w:spacing w:after="0" w:line="240" w:lineRule="auto"/>
        <w:jc w:val="both"/>
      </w:pPr>
      <w:r>
        <w:t>April 21</w:t>
      </w:r>
      <w:r>
        <w:rPr>
          <w:vertAlign w:val="superscript"/>
        </w:rPr>
        <w:t>st</w:t>
      </w:r>
      <w:r>
        <w:t>, 3</w:t>
      </w:r>
      <w:r w:rsidRPr="000F2810">
        <w:t>:</w:t>
      </w:r>
      <w:r>
        <w:t>3</w:t>
      </w:r>
      <w:r w:rsidRPr="000F2810">
        <w:t>0 P.M. at 23 Union Street</w:t>
      </w:r>
    </w:p>
    <w:p w:rsidR="00170BD4" w:rsidRDefault="00170BD4" w:rsidP="005D550A">
      <w:pPr>
        <w:autoSpaceDE w:val="0"/>
        <w:autoSpaceDN w:val="0"/>
        <w:adjustRightInd w:val="0"/>
      </w:pPr>
    </w:p>
    <w:p w:rsidR="00170BD4" w:rsidRPr="000F2810" w:rsidRDefault="00170BD4" w:rsidP="005D550A">
      <w:pPr>
        <w:autoSpaceDE w:val="0"/>
        <w:autoSpaceDN w:val="0"/>
        <w:adjustRightInd w:val="0"/>
      </w:pPr>
      <w:r w:rsidRPr="000F2810">
        <w:t>A notice was posted in the Norwich Bulletin (regional newspaper) of the request for citizen’s comments during a 30-day comm</w:t>
      </w:r>
      <w:r>
        <w:t xml:space="preserve">ent period.  The ad ran on </w:t>
      </w:r>
      <w:r w:rsidRPr="000C6BC4">
        <w:t>April 16, 2013</w:t>
      </w:r>
      <w:r w:rsidRPr="000F2810">
        <w:t xml:space="preserve"> (see appendix).</w:t>
      </w:r>
    </w:p>
    <w:p w:rsidR="00170BD4" w:rsidRPr="000F2810" w:rsidRDefault="00170BD4" w:rsidP="005D550A">
      <w:pPr>
        <w:autoSpaceDE w:val="0"/>
        <w:autoSpaceDN w:val="0"/>
        <w:adjustRightInd w:val="0"/>
        <w:jc w:val="both"/>
      </w:pPr>
      <w:r w:rsidRPr="000F2810">
        <w:t xml:space="preserve">The City of Norwich held </w:t>
      </w:r>
      <w:r>
        <w:t>three</w:t>
      </w:r>
      <w:r w:rsidRPr="000F2810">
        <w:t xml:space="preserve"> public hearings providing opportunities for the public to comment at a Council meeting prior to the Council’s final vote on the recommended allocation</w:t>
      </w:r>
    </w:p>
    <w:p w:rsidR="00170BD4" w:rsidRPr="000F2810" w:rsidRDefault="00170BD4" w:rsidP="005D550A">
      <w:pPr>
        <w:numPr>
          <w:ilvl w:val="0"/>
          <w:numId w:val="22"/>
        </w:numPr>
        <w:autoSpaceDE w:val="0"/>
        <w:autoSpaceDN w:val="0"/>
        <w:adjustRightInd w:val="0"/>
        <w:spacing w:after="0" w:line="240" w:lineRule="auto"/>
        <w:jc w:val="both"/>
      </w:pPr>
      <w:r>
        <w:t>May 6</w:t>
      </w:r>
      <w:r>
        <w:rPr>
          <w:vertAlign w:val="superscript"/>
        </w:rPr>
        <w:t>th</w:t>
      </w:r>
      <w:r w:rsidRPr="000F2810">
        <w:t xml:space="preserve"> , 7:30 Council Chambers, City Hall</w:t>
      </w:r>
    </w:p>
    <w:p w:rsidR="00170BD4" w:rsidRDefault="00170BD4" w:rsidP="005D550A">
      <w:pPr>
        <w:numPr>
          <w:ilvl w:val="0"/>
          <w:numId w:val="22"/>
        </w:numPr>
        <w:autoSpaceDE w:val="0"/>
        <w:autoSpaceDN w:val="0"/>
        <w:adjustRightInd w:val="0"/>
        <w:spacing w:after="0" w:line="240" w:lineRule="auto"/>
        <w:jc w:val="both"/>
      </w:pPr>
      <w:r>
        <w:t>May 20</w:t>
      </w:r>
      <w:r w:rsidRPr="000F2810">
        <w:rPr>
          <w:vertAlign w:val="superscript"/>
        </w:rPr>
        <w:t>th</w:t>
      </w:r>
      <w:r w:rsidRPr="000F2810">
        <w:t>, 7:30 Council Chambers, City Hall</w:t>
      </w:r>
    </w:p>
    <w:p w:rsidR="00170BD4" w:rsidRPr="000F2810" w:rsidRDefault="00170BD4" w:rsidP="005D550A">
      <w:pPr>
        <w:numPr>
          <w:ilvl w:val="0"/>
          <w:numId w:val="22"/>
        </w:numPr>
        <w:autoSpaceDE w:val="0"/>
        <w:autoSpaceDN w:val="0"/>
        <w:adjustRightInd w:val="0"/>
        <w:spacing w:after="0" w:line="240" w:lineRule="auto"/>
        <w:jc w:val="both"/>
      </w:pPr>
      <w:r>
        <w:t>June 17</w:t>
      </w:r>
      <w:r w:rsidRPr="00301CE1">
        <w:rPr>
          <w:vertAlign w:val="superscript"/>
        </w:rPr>
        <w:t>th</w:t>
      </w:r>
      <w:r>
        <w:t>, 7:30 Council Chambers, City Hall – Final Vote</w:t>
      </w:r>
    </w:p>
    <w:p w:rsidR="00170BD4" w:rsidRPr="000F2810" w:rsidRDefault="00170BD4" w:rsidP="005D550A">
      <w:pPr>
        <w:autoSpaceDE w:val="0"/>
        <w:autoSpaceDN w:val="0"/>
        <w:adjustRightInd w:val="0"/>
        <w:ind w:left="360"/>
        <w:jc w:val="both"/>
      </w:pPr>
    </w:p>
    <w:p w:rsidR="00170BD4" w:rsidRPr="000F2810" w:rsidRDefault="00170BD4" w:rsidP="005D550A">
      <w:pPr>
        <w:autoSpaceDE w:val="0"/>
        <w:autoSpaceDN w:val="0"/>
        <w:adjustRightInd w:val="0"/>
        <w:jc w:val="both"/>
      </w:pPr>
      <w:r w:rsidRPr="000F2810">
        <w:t>Public notices of the hearings, deliberations and the vote were published in advance in the Norwich Bulletin (regional newspaper)</w:t>
      </w:r>
      <w:r>
        <w:t>, the Norwich Town and City Clerk’s Office</w:t>
      </w:r>
      <w:r w:rsidRPr="000F2810">
        <w:t xml:space="preserve"> and online at </w:t>
      </w:r>
      <w:hyperlink r:id="rId8" w:history="1">
        <w:r w:rsidRPr="000F2810">
          <w:rPr>
            <w:rStyle w:val="Hyperlink"/>
          </w:rPr>
          <w:t>www.norwichct.org</w:t>
        </w:r>
      </w:hyperlink>
      <w:r w:rsidRPr="000F2810">
        <w:t xml:space="preserve">.  </w:t>
      </w:r>
      <w:r>
        <w:t>There were no c</w:t>
      </w:r>
      <w:r w:rsidRPr="000F2810">
        <w:t>omments from public hearings</w:t>
      </w:r>
      <w:r>
        <w:t>.</w:t>
      </w:r>
      <w:r w:rsidRPr="000F2810">
        <w:t xml:space="preserve">  A notice regarding the final Council decision </w:t>
      </w:r>
      <w:r w:rsidRPr="000C6BC4">
        <w:t xml:space="preserve">will be posted online at </w:t>
      </w:r>
      <w:hyperlink r:id="rId9" w:history="1">
        <w:r w:rsidRPr="000C6BC4">
          <w:rPr>
            <w:rStyle w:val="Hyperlink"/>
          </w:rPr>
          <w:t>www.norwichct.org</w:t>
        </w:r>
      </w:hyperlink>
      <w:r w:rsidRPr="000F2810">
        <w:t xml:space="preserve">.  </w:t>
      </w:r>
      <w:r w:rsidRPr="00341139">
        <w:rPr>
          <w:highlight w:val="yellow"/>
        </w:rPr>
        <w:t>Information was also sent to the Norwich Bulletin and the New London Day through a press release.</w:t>
      </w:r>
    </w:p>
    <w:p w:rsidR="00170BD4" w:rsidRPr="000F2810" w:rsidRDefault="00170BD4" w:rsidP="005D550A">
      <w:pPr>
        <w:autoSpaceDE w:val="0"/>
        <w:autoSpaceDN w:val="0"/>
        <w:adjustRightInd w:val="0"/>
        <w:jc w:val="both"/>
      </w:pPr>
    </w:p>
    <w:p w:rsidR="00170BD4" w:rsidRPr="000F2810" w:rsidRDefault="00170BD4" w:rsidP="005D550A">
      <w:r w:rsidRPr="000F2810">
        <w:t xml:space="preserve">There were no citizen’s comments during the Community Development Advisory Council’s public meetings.  </w:t>
      </w:r>
      <w:r>
        <w:t>There were no public c</w:t>
      </w:r>
      <w:r w:rsidRPr="000F2810">
        <w:t>omments from the Public Hearings</w:t>
      </w:r>
      <w:r>
        <w:t>.</w:t>
      </w:r>
    </w:p>
    <w:p w:rsidR="00170BD4" w:rsidRPr="000F2810" w:rsidRDefault="00170BD4" w:rsidP="005D550A">
      <w:r w:rsidRPr="000F2810">
        <w:t xml:space="preserve">The CD office works hard to engage community-members at all levels of the CDBG process – from creating the application through close out of programs.  In year 1 of the Consolidated Plan, public service groups were heavily engaged in round-table discussions.  Clients participating in activities through those agencies responded to questions regarding service needs.  The focus was on needs in the community, gaps in services that could be provided and long-term planning.  The </w:t>
      </w:r>
      <w:r>
        <w:t>development of the PY 2013</w:t>
      </w:r>
      <w:r w:rsidRPr="000F2810">
        <w:t xml:space="preserve"> application and the focus on outcomes were as a result of these conversations.</w:t>
      </w:r>
    </w:p>
    <w:p w:rsidR="00170BD4" w:rsidRPr="000F2810" w:rsidRDefault="00170BD4" w:rsidP="005D550A">
      <w:r w:rsidRPr="000F2810">
        <w:t xml:space="preserve">Using leveraged funding, the CD office is able to utilize translators of the City’s most commonly used non-English languages (Haitian-Creole, Chinese, and Spanish).  This has allowed us to increase the diversity of participants, especially in the property rehabilitation and lead based paint hazard control programs.  Translators and staff attended multiple community events as well as religious and property owner association meetings to talk about City-wide programs.  The CD office works with organizations such as Disabilities Network of Eastern Connecticut to make sure our programs accurately reflect the needs of disabled populations.      </w:t>
      </w:r>
    </w:p>
    <w:p w:rsidR="00170BD4" w:rsidRDefault="00170BD4" w:rsidP="00EC449F">
      <w:r w:rsidRPr="000F2810">
        <w:t xml:space="preserve">The City will increase efforts this year by participating in community events that are run by minority organizations and groups.  </w:t>
      </w:r>
      <w:r>
        <w:t>By being available at community-wide events, we will ensure outreach to at-risk community members increases.</w:t>
      </w:r>
      <w:r w:rsidRPr="000F2810">
        <w:t xml:space="preserve">  It is less intimidating and will make us more approachable.  We will also continue attending large-scale community events that reach all residents.  These events include: Touch-A-Truck, National Night Out, The Weekly Farmer’s Market and Family Day.</w:t>
      </w:r>
    </w:p>
    <w:p w:rsidR="00170BD4" w:rsidRPr="004805E2" w:rsidRDefault="00170BD4" w:rsidP="005D550A">
      <w:pPr>
        <w:widowControl w:val="0"/>
        <w:suppressAutoHyphens/>
        <w:overflowPunct w:val="0"/>
        <w:autoSpaceDE w:val="0"/>
        <w:autoSpaceDN w:val="0"/>
        <w:adjustRightInd w:val="0"/>
        <w:ind w:left="360"/>
        <w:rPr>
          <w:b/>
          <w:bCs/>
        </w:rPr>
      </w:pPr>
      <w:r w:rsidRPr="004805E2">
        <w:rPr>
          <w:b/>
          <w:bCs/>
        </w:rPr>
        <w:t>a. Based on the jurisdiction’s current citizen participation plan, provide a summary of the citizen participation process used in the development of the consolidated plan.  Include a description of actions taken to encourage participation of all its residents, including the following:</w:t>
      </w:r>
    </w:p>
    <w:p w:rsidR="00170BD4" w:rsidRPr="004805E2" w:rsidRDefault="00170BD4" w:rsidP="005D550A">
      <w:pPr>
        <w:widowControl w:val="0"/>
        <w:suppressAutoHyphens/>
        <w:overflowPunct w:val="0"/>
        <w:autoSpaceDE w:val="0"/>
        <w:autoSpaceDN w:val="0"/>
        <w:adjustRightInd w:val="0"/>
        <w:rPr>
          <w:b/>
          <w:bCs/>
        </w:rPr>
      </w:pPr>
    </w:p>
    <w:p w:rsidR="00170BD4" w:rsidRPr="004805E2" w:rsidRDefault="00170BD4" w:rsidP="005D550A">
      <w:pPr>
        <w:widowControl w:val="0"/>
        <w:numPr>
          <w:ilvl w:val="0"/>
          <w:numId w:val="24"/>
        </w:numPr>
        <w:suppressAutoHyphens/>
        <w:overflowPunct w:val="0"/>
        <w:autoSpaceDE w:val="0"/>
        <w:autoSpaceDN w:val="0"/>
        <w:adjustRightInd w:val="0"/>
        <w:spacing w:after="0" w:line="240" w:lineRule="auto"/>
        <w:rPr>
          <w:b/>
          <w:bCs/>
        </w:rPr>
      </w:pPr>
      <w:r w:rsidRPr="004805E2">
        <w:rPr>
          <w:b/>
          <w:bCs/>
        </w:rPr>
        <w:t>low- and moderate-income residents where housing and community development funds may be spent;</w:t>
      </w:r>
    </w:p>
    <w:p w:rsidR="00170BD4" w:rsidRPr="00804BBD" w:rsidRDefault="00170BD4" w:rsidP="005D550A">
      <w:pPr>
        <w:widowControl w:val="0"/>
        <w:suppressAutoHyphens/>
        <w:overflowPunct w:val="0"/>
        <w:autoSpaceDE w:val="0"/>
        <w:autoSpaceDN w:val="0"/>
        <w:adjustRightInd w:val="0"/>
        <w:ind w:left="1080"/>
      </w:pPr>
      <w:r>
        <w:t>In addition to community meetings, the City of Norwich generated a questionnaire as part of the outreach component of plan development.  The survey requested respondents to rank on a scale from 1 to 4 community development and housing areas and to identify factors that impede fair housing choice.</w:t>
      </w:r>
      <w:r w:rsidRPr="00804BBD">
        <w:t xml:space="preserve"> </w:t>
      </w:r>
    </w:p>
    <w:p w:rsidR="00170BD4" w:rsidRPr="004805E2" w:rsidRDefault="00170BD4" w:rsidP="005D550A">
      <w:pPr>
        <w:widowControl w:val="0"/>
        <w:numPr>
          <w:ilvl w:val="0"/>
          <w:numId w:val="24"/>
        </w:numPr>
        <w:suppressAutoHyphens/>
        <w:overflowPunct w:val="0"/>
        <w:autoSpaceDE w:val="0"/>
        <w:autoSpaceDN w:val="0"/>
        <w:adjustRightInd w:val="0"/>
        <w:spacing w:after="0" w:line="240" w:lineRule="auto"/>
        <w:rPr>
          <w:b/>
          <w:bCs/>
        </w:rPr>
      </w:pPr>
      <w:r w:rsidRPr="004805E2">
        <w:rPr>
          <w:b/>
          <w:bCs/>
        </w:rPr>
        <w:t>minorities and non-English speaking persons, as well as persons with disabilities;</w:t>
      </w:r>
    </w:p>
    <w:p w:rsidR="00170BD4" w:rsidRPr="00804BBD" w:rsidRDefault="00170BD4" w:rsidP="005D550A">
      <w:pPr>
        <w:widowControl w:val="0"/>
        <w:suppressAutoHyphens/>
        <w:overflowPunct w:val="0"/>
        <w:autoSpaceDE w:val="0"/>
        <w:autoSpaceDN w:val="0"/>
        <w:adjustRightInd w:val="0"/>
        <w:ind w:left="1080"/>
      </w:pPr>
      <w:r>
        <w:t xml:space="preserve">The survey was released in English and translated into the 3 predominant languages of the area – Spanish, Haitian-Creole, and Chinese;  The survey was also distributed at the two CDBG funded English as a Foreign Language programs. </w:t>
      </w:r>
    </w:p>
    <w:p w:rsidR="00170BD4" w:rsidRPr="004805E2" w:rsidRDefault="00170BD4" w:rsidP="005D550A">
      <w:pPr>
        <w:widowControl w:val="0"/>
        <w:numPr>
          <w:ilvl w:val="0"/>
          <w:numId w:val="24"/>
        </w:numPr>
        <w:suppressAutoHyphens/>
        <w:overflowPunct w:val="0"/>
        <w:autoSpaceDE w:val="0"/>
        <w:autoSpaceDN w:val="0"/>
        <w:adjustRightInd w:val="0"/>
        <w:spacing w:after="0" w:line="240" w:lineRule="auto"/>
        <w:rPr>
          <w:b/>
          <w:bCs/>
        </w:rPr>
      </w:pPr>
      <w:r w:rsidRPr="004805E2">
        <w:rPr>
          <w:b/>
          <w:bCs/>
        </w:rPr>
        <w:t>local and regional institutions, the Continuum of Care, and other organizations (including businesses, developers, nonprofit organizations, philanthropic organizations, community and faith-based organizations);</w:t>
      </w:r>
    </w:p>
    <w:p w:rsidR="00170BD4" w:rsidRDefault="00170BD4" w:rsidP="005D550A">
      <w:pPr>
        <w:autoSpaceDE w:val="0"/>
        <w:autoSpaceDN w:val="0"/>
        <w:adjustRightInd w:val="0"/>
        <w:ind w:left="1080"/>
        <w:rPr>
          <w:color w:val="000000"/>
        </w:rPr>
      </w:pPr>
      <w:r w:rsidRPr="004805E2">
        <w:rPr>
          <w:color w:val="000000"/>
        </w:rPr>
        <w:t xml:space="preserve">Development of this Consolidated Plan was formulated with input from public hearings, meetings with affected groups, a needs survey and consultations with public and private organizations concerned with community development in Norwich. Research sources included information available on the internet; the 2000 U.S. Census; </w:t>
      </w:r>
      <w:r>
        <w:rPr>
          <w:color w:val="000000"/>
        </w:rPr>
        <w:t>and updated in 2012</w:t>
      </w:r>
      <w:r w:rsidRPr="004805E2">
        <w:rPr>
          <w:color w:val="000000"/>
        </w:rPr>
        <w:t xml:space="preserve">; and </w:t>
      </w:r>
      <w:r>
        <w:rPr>
          <w:color w:val="000000"/>
        </w:rPr>
        <w:t xml:space="preserve">utilized </w:t>
      </w:r>
      <w:r w:rsidRPr="004805E2">
        <w:rPr>
          <w:color w:val="000000"/>
        </w:rPr>
        <w:t>a number of reports that were developed regionally on housing, social services and the local economy.</w:t>
      </w:r>
    </w:p>
    <w:p w:rsidR="00170BD4" w:rsidRDefault="00170BD4" w:rsidP="005D550A">
      <w:pPr>
        <w:autoSpaceDE w:val="0"/>
        <w:autoSpaceDN w:val="0"/>
        <w:adjustRightInd w:val="0"/>
        <w:ind w:left="1080"/>
        <w:rPr>
          <w:color w:val="000000"/>
        </w:rPr>
      </w:pPr>
    </w:p>
    <w:p w:rsidR="00170BD4" w:rsidRPr="00F751FA" w:rsidRDefault="00170BD4" w:rsidP="005D550A">
      <w:pPr>
        <w:autoSpaceDE w:val="0"/>
        <w:autoSpaceDN w:val="0"/>
        <w:adjustRightInd w:val="0"/>
        <w:ind w:left="1080"/>
        <w:rPr>
          <w:color w:val="000000"/>
        </w:rPr>
      </w:pPr>
      <w:r w:rsidRPr="00F751FA">
        <w:rPr>
          <w:color w:val="000000"/>
        </w:rPr>
        <w:t>The staff of both the Office of Community Development and the Human Services</w:t>
      </w:r>
      <w:r>
        <w:rPr>
          <w:color w:val="000000"/>
        </w:rPr>
        <w:t xml:space="preserve"> </w:t>
      </w:r>
      <w:r w:rsidRPr="00F751FA">
        <w:rPr>
          <w:color w:val="000000"/>
        </w:rPr>
        <w:t>Department are involved on an on-going basis in the community with such agencies as the Thames Valley Council for Community Action (TVCCA), Southeastern Council on Alcohol and Drug Dependency (SCADD), and others concerned with the needs of the community. Through ongoing involvement with organizations concerned with community issues and activities, City staff members are aware of the full spectrum of housing and community development needs and have thus been able, with their community partners, to develop a variety of programs to meet identified community needs.</w:t>
      </w:r>
    </w:p>
    <w:p w:rsidR="00170BD4" w:rsidRPr="00F751FA" w:rsidRDefault="00170BD4" w:rsidP="005D550A">
      <w:pPr>
        <w:autoSpaceDE w:val="0"/>
        <w:autoSpaceDN w:val="0"/>
        <w:adjustRightInd w:val="0"/>
        <w:ind w:left="1080"/>
        <w:rPr>
          <w:color w:val="000000"/>
        </w:rPr>
      </w:pPr>
    </w:p>
    <w:p w:rsidR="00170BD4" w:rsidRPr="00F751FA" w:rsidRDefault="00170BD4" w:rsidP="005D550A">
      <w:pPr>
        <w:autoSpaceDE w:val="0"/>
        <w:autoSpaceDN w:val="0"/>
        <w:adjustRightInd w:val="0"/>
        <w:ind w:left="1080"/>
        <w:rPr>
          <w:color w:val="000000"/>
        </w:rPr>
      </w:pPr>
      <w:r w:rsidRPr="00F751FA">
        <w:rPr>
          <w:color w:val="000000"/>
        </w:rPr>
        <w:t>The Director of Norwich Human Services who oversees the Office of Community Development is on the Executive Board for the Continuum of Care and is also the Co-Chair of the regional Coalition to End Homelessness in Southeastern Connecticut.</w:t>
      </w:r>
    </w:p>
    <w:p w:rsidR="00170BD4" w:rsidRPr="00F751FA" w:rsidRDefault="00170BD4" w:rsidP="005D550A">
      <w:pPr>
        <w:autoSpaceDE w:val="0"/>
        <w:autoSpaceDN w:val="0"/>
        <w:adjustRightInd w:val="0"/>
        <w:ind w:left="1080"/>
        <w:rPr>
          <w:color w:val="000000"/>
        </w:rPr>
      </w:pPr>
    </w:p>
    <w:p w:rsidR="00170BD4" w:rsidRPr="00F751FA" w:rsidRDefault="00170BD4" w:rsidP="005D550A">
      <w:pPr>
        <w:autoSpaceDE w:val="0"/>
        <w:autoSpaceDN w:val="0"/>
        <w:adjustRightInd w:val="0"/>
        <w:ind w:left="1080"/>
        <w:rPr>
          <w:color w:val="000000"/>
        </w:rPr>
      </w:pPr>
      <w:r w:rsidRPr="00F751FA">
        <w:rPr>
          <w:color w:val="000000"/>
        </w:rPr>
        <w:t xml:space="preserve">Members of the Community Development Advisory Committee (CDAC) and the Norwich City Council are continually involved in public meetings and hearings throughout the year. They are aware of issues affecting Norwich’s special needs populations. </w:t>
      </w:r>
    </w:p>
    <w:p w:rsidR="00170BD4" w:rsidRDefault="00170BD4" w:rsidP="005D550A">
      <w:pPr>
        <w:widowControl w:val="0"/>
        <w:numPr>
          <w:ilvl w:val="0"/>
          <w:numId w:val="24"/>
        </w:numPr>
        <w:suppressAutoHyphens/>
        <w:overflowPunct w:val="0"/>
        <w:autoSpaceDE w:val="0"/>
        <w:autoSpaceDN w:val="0"/>
        <w:adjustRightInd w:val="0"/>
        <w:spacing w:after="0" w:line="240" w:lineRule="auto"/>
        <w:rPr>
          <w:b/>
          <w:bCs/>
        </w:rPr>
      </w:pPr>
      <w:r w:rsidRPr="00EB169F">
        <w:rPr>
          <w:b/>
          <w:bCs/>
        </w:rPr>
        <w:t xml:space="preserve">residents of public and assisted housing developments and recipients of tenant- based assistance; </w:t>
      </w:r>
    </w:p>
    <w:p w:rsidR="00170BD4" w:rsidRPr="00EB169F" w:rsidRDefault="00170BD4" w:rsidP="005D550A">
      <w:pPr>
        <w:widowControl w:val="0"/>
        <w:suppressAutoHyphens/>
        <w:overflowPunct w:val="0"/>
        <w:autoSpaceDE w:val="0"/>
        <w:autoSpaceDN w:val="0"/>
        <w:adjustRightInd w:val="0"/>
        <w:ind w:left="1080"/>
        <w:rPr>
          <w:b/>
          <w:bCs/>
        </w:rPr>
      </w:pPr>
      <w:r>
        <w:t>The survey is distributed to TVCCA (514 Section 8 certificates) and Norwich Public Housing Authority.  Please also review section b. below for representatives who assisted in the creation of the 5-year plan.</w:t>
      </w:r>
    </w:p>
    <w:p w:rsidR="00170BD4" w:rsidRDefault="00170BD4" w:rsidP="005D550A">
      <w:pPr>
        <w:widowControl w:val="0"/>
        <w:numPr>
          <w:ilvl w:val="0"/>
          <w:numId w:val="24"/>
        </w:numPr>
        <w:suppressAutoHyphens/>
        <w:overflowPunct w:val="0"/>
        <w:autoSpaceDE w:val="0"/>
        <w:autoSpaceDN w:val="0"/>
        <w:adjustRightInd w:val="0"/>
        <w:spacing w:after="0" w:line="240" w:lineRule="auto"/>
        <w:rPr>
          <w:b/>
          <w:bCs/>
        </w:rPr>
      </w:pPr>
      <w:r>
        <w:rPr>
          <w:b/>
          <w:bCs/>
        </w:rPr>
        <w:t>R</w:t>
      </w:r>
      <w:r w:rsidRPr="00EB169F">
        <w:rPr>
          <w:b/>
          <w:bCs/>
        </w:rPr>
        <w:t xml:space="preserve">esidents of targeted revitalization areas. </w:t>
      </w:r>
    </w:p>
    <w:p w:rsidR="00170BD4" w:rsidRDefault="00170BD4" w:rsidP="005D550A">
      <w:pPr>
        <w:widowControl w:val="0"/>
        <w:suppressAutoHyphens/>
        <w:overflowPunct w:val="0"/>
        <w:autoSpaceDE w:val="0"/>
        <w:autoSpaceDN w:val="0"/>
        <w:adjustRightInd w:val="0"/>
        <w:ind w:left="1080"/>
      </w:pPr>
      <w:r>
        <w:t>In addition to the organizations mentioned under section b. below, the City used the 2 Neighborhood Revitalization Zones (NRZs) and 10 block-watch organization meetings as opportunities to speak to residents.  Please review section b. as well.</w:t>
      </w:r>
    </w:p>
    <w:p w:rsidR="00170BD4" w:rsidRDefault="00170BD4" w:rsidP="005D550A">
      <w:pPr>
        <w:ind w:left="360"/>
        <w:rPr>
          <w:b/>
          <w:bCs/>
        </w:rPr>
      </w:pPr>
    </w:p>
    <w:p w:rsidR="00170BD4" w:rsidRPr="001830FF" w:rsidRDefault="00170BD4" w:rsidP="005D550A">
      <w:pPr>
        <w:ind w:left="360"/>
        <w:rPr>
          <w:b/>
          <w:bCs/>
        </w:rPr>
      </w:pPr>
      <w:r w:rsidRPr="001830FF">
        <w:rPr>
          <w:b/>
          <w:bCs/>
        </w:rPr>
        <w:t>b. Identify agencies, groups, and organizations that participated in the process.  This should reflect consultation requirements regarding the following:</w:t>
      </w:r>
    </w:p>
    <w:p w:rsidR="00170BD4" w:rsidRDefault="00170BD4" w:rsidP="005D550A">
      <w:pPr>
        <w:widowControl w:val="0"/>
        <w:suppressAutoHyphens/>
        <w:overflowPunct w:val="0"/>
        <w:autoSpaceDE w:val="0"/>
        <w:autoSpaceDN w:val="0"/>
        <w:adjustRightInd w:val="0"/>
        <w:ind w:left="1080"/>
      </w:pPr>
    </w:p>
    <w:p w:rsidR="00170BD4" w:rsidRDefault="00170BD4" w:rsidP="005D550A">
      <w:pPr>
        <w:widowControl w:val="0"/>
        <w:suppressAutoHyphens/>
        <w:overflowPunct w:val="0"/>
        <w:autoSpaceDE w:val="0"/>
        <w:autoSpaceDN w:val="0"/>
        <w:adjustRightInd w:val="0"/>
        <w:ind w:left="720"/>
      </w:pPr>
      <w:r>
        <w:t>The following response answers questions b1-5.In addition to the Continuum of Care and the Southeastern Connecticut Coalition to End Homelessness, the following organizations were represented at the table or played a roll in creating the 5-year plan:</w:t>
      </w:r>
    </w:p>
    <w:p w:rsidR="00170BD4" w:rsidRDefault="00170BD4" w:rsidP="005D550A">
      <w:pPr>
        <w:autoSpaceDE w:val="0"/>
        <w:autoSpaceDN w:val="0"/>
        <w:adjustRightInd w:val="0"/>
        <w:ind w:left="720"/>
      </w:pPr>
    </w:p>
    <w:p w:rsidR="00170BD4" w:rsidRDefault="00170BD4" w:rsidP="005D550A">
      <w:pPr>
        <w:autoSpaceDE w:val="0"/>
        <w:autoSpaceDN w:val="0"/>
        <w:adjustRightInd w:val="0"/>
        <w:ind w:left="720"/>
        <w:sectPr w:rsidR="00170BD4" w:rsidSect="00EC449F">
          <w:headerReference w:type="default" r:id="rId10"/>
          <w:footerReference w:type="default" r:id="rId11"/>
          <w:headerReference w:type="first" r:id="rId12"/>
          <w:footerReference w:type="first" r:id="rId13"/>
          <w:pgSz w:w="12240" w:h="15840"/>
          <w:pgMar w:top="1440" w:right="1440" w:bottom="1080" w:left="1440" w:header="720" w:footer="720" w:gutter="0"/>
          <w:cols w:space="720"/>
          <w:titlePg/>
          <w:docGrid w:linePitch="360"/>
        </w:sectPr>
      </w:pPr>
    </w:p>
    <w:p w:rsidR="00170BD4" w:rsidRDefault="00170BD4" w:rsidP="005D550A">
      <w:pPr>
        <w:autoSpaceDE w:val="0"/>
        <w:autoSpaceDN w:val="0"/>
        <w:adjustRightInd w:val="0"/>
        <w:ind w:left="720"/>
        <w:rPr>
          <w:rFonts w:ascii="Arial" w:hAnsi="Arial" w:cs="Arial"/>
          <w:color w:val="000000"/>
        </w:rPr>
      </w:pPr>
      <w:r>
        <w:t xml:space="preserve"> </w:t>
      </w:r>
      <w:r>
        <w:rPr>
          <w:rFonts w:ascii="SymbolMT" w:hAnsi="SymbolMT" w:cs="SymbolMT"/>
          <w:color w:val="000000"/>
        </w:rPr>
        <w:t xml:space="preserve">• </w:t>
      </w:r>
      <w:r>
        <w:rPr>
          <w:rFonts w:ascii="Arial" w:hAnsi="Arial" w:cs="Arial"/>
          <w:color w:val="000000"/>
        </w:rPr>
        <w:t>State of Connecticut, State Legislative Offices</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State of Connecticut, Department of Health</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State of Connecticut, Department of Children and Families Eastern Region</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Southeastern Connecticut Council of Governments</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Norwich Housing Authority</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Thames Valley Council for Community Action</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Thames River Family Program</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Norwich Community Development Corporation</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Norwich Arts Council</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Fannie Mae Connecticut Partnership Office</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NAACP</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Disabilities Network of Eastern Connecticut</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Literacy Volunteers</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Area Food pantry Consortium</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Martin House</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Madonna Place</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Big Brothers Big Sisters</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Bethsaida Community Inc./Katie Blair House</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Backus Hospital</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Southeastern Connecticut Partnership to End Homelessness</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SCADD</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Women’s Center</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Norwich faith-based organizations</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Habitat for Humanity of SECT</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United Way</w:t>
      </w:r>
    </w:p>
    <w:p w:rsidR="00170BD4" w:rsidRDefault="00170BD4" w:rsidP="005D550A">
      <w:pPr>
        <w:autoSpaceDE w:val="0"/>
        <w:autoSpaceDN w:val="0"/>
        <w:adjustRightInd w:val="0"/>
        <w:ind w:left="720"/>
        <w:rPr>
          <w:rFonts w:ascii="Arial" w:hAnsi="Arial" w:cs="Arial"/>
          <w:color w:val="000000"/>
        </w:rPr>
      </w:pPr>
      <w:r>
        <w:rPr>
          <w:rFonts w:ascii="SymbolMT" w:hAnsi="SymbolMT" w:cs="SymbolMT"/>
          <w:color w:val="000000"/>
        </w:rPr>
        <w:t xml:space="preserve">• </w:t>
      </w:r>
      <w:r>
        <w:rPr>
          <w:rFonts w:ascii="Arial" w:hAnsi="Arial" w:cs="Arial"/>
          <w:color w:val="000000"/>
        </w:rPr>
        <w:t>Local realtors and developers, both for-profit and non-profit</w:t>
      </w:r>
    </w:p>
    <w:p w:rsidR="00170BD4" w:rsidRDefault="00170BD4" w:rsidP="005D550A">
      <w:pPr>
        <w:widowControl w:val="0"/>
        <w:suppressAutoHyphens/>
        <w:overflowPunct w:val="0"/>
        <w:autoSpaceDE w:val="0"/>
        <w:autoSpaceDN w:val="0"/>
        <w:adjustRightInd w:val="0"/>
        <w:ind w:left="720"/>
      </w:pPr>
    </w:p>
    <w:p w:rsidR="00170BD4" w:rsidRDefault="00170BD4" w:rsidP="005D550A">
      <w:pPr>
        <w:widowControl w:val="0"/>
        <w:suppressAutoHyphens/>
        <w:overflowPunct w:val="0"/>
        <w:autoSpaceDE w:val="0"/>
        <w:autoSpaceDN w:val="0"/>
        <w:adjustRightInd w:val="0"/>
        <w:ind w:left="720"/>
        <w:sectPr w:rsidR="00170BD4" w:rsidSect="001830FF">
          <w:type w:val="continuous"/>
          <w:pgSz w:w="12240" w:h="15840"/>
          <w:pgMar w:top="1440" w:right="1440" w:bottom="1440" w:left="1440" w:header="720" w:footer="720" w:gutter="0"/>
          <w:cols w:num="2" w:space="720"/>
          <w:titlePg/>
          <w:docGrid w:linePitch="360"/>
        </w:sectPr>
      </w:pPr>
    </w:p>
    <w:p w:rsidR="00170BD4" w:rsidRPr="00804BBD" w:rsidRDefault="00170BD4" w:rsidP="005D550A">
      <w:pPr>
        <w:pStyle w:val="ListParagraph"/>
      </w:pPr>
    </w:p>
    <w:p w:rsidR="00170BD4" w:rsidRPr="001830FF" w:rsidRDefault="00170BD4" w:rsidP="005D550A">
      <w:pPr>
        <w:pStyle w:val="ListParagraph"/>
        <w:keepLines/>
        <w:widowControl w:val="0"/>
        <w:numPr>
          <w:ilvl w:val="0"/>
          <w:numId w:val="25"/>
        </w:numPr>
        <w:tabs>
          <w:tab w:val="clear" w:pos="720"/>
          <w:tab w:val="num" w:pos="360"/>
          <w:tab w:val="num" w:pos="7380"/>
        </w:tabs>
        <w:suppressAutoHyphens/>
        <w:overflowPunct w:val="0"/>
        <w:autoSpaceDE w:val="0"/>
        <w:autoSpaceDN w:val="0"/>
        <w:adjustRightInd w:val="0"/>
        <w:spacing w:after="0" w:line="240" w:lineRule="auto"/>
        <w:ind w:left="360"/>
        <w:rPr>
          <w:b/>
          <w:bCs/>
        </w:rPr>
      </w:pPr>
      <w:r w:rsidRPr="001830FF">
        <w:rPr>
          <w:b/>
          <w:bCs/>
        </w:rPr>
        <w:t>Provide a summary of citizen comments or views on the plan.</w:t>
      </w:r>
    </w:p>
    <w:p w:rsidR="00170BD4" w:rsidRPr="001830FF" w:rsidRDefault="00170BD4" w:rsidP="005D550A">
      <w:pPr>
        <w:pStyle w:val="ListParagraph"/>
        <w:keepLines/>
        <w:widowControl w:val="0"/>
        <w:tabs>
          <w:tab w:val="num" w:pos="360"/>
          <w:tab w:val="num" w:pos="7380"/>
        </w:tabs>
        <w:suppressAutoHyphens/>
        <w:overflowPunct w:val="0"/>
        <w:autoSpaceDE w:val="0"/>
        <w:autoSpaceDN w:val="0"/>
        <w:adjustRightInd w:val="0"/>
        <w:ind w:left="360"/>
      </w:pPr>
      <w:r w:rsidRPr="000C6BC4">
        <w:t>This is a draft and therfore no citizens comments have been received</w:t>
      </w:r>
    </w:p>
    <w:p w:rsidR="00170BD4" w:rsidRDefault="00170BD4" w:rsidP="005D550A">
      <w:pPr>
        <w:pStyle w:val="ListParagraph"/>
        <w:keepLines/>
        <w:widowControl w:val="0"/>
        <w:tabs>
          <w:tab w:val="num" w:pos="360"/>
          <w:tab w:val="num" w:pos="900"/>
          <w:tab w:val="num" w:pos="7380"/>
        </w:tabs>
        <w:suppressAutoHyphens/>
        <w:overflowPunct w:val="0"/>
        <w:autoSpaceDE w:val="0"/>
        <w:autoSpaceDN w:val="0"/>
        <w:adjustRightInd w:val="0"/>
        <w:ind w:left="360"/>
      </w:pPr>
    </w:p>
    <w:p w:rsidR="00170BD4" w:rsidRPr="001830FF" w:rsidRDefault="00170BD4" w:rsidP="005D550A">
      <w:pPr>
        <w:pStyle w:val="ListParagraph"/>
        <w:keepLines/>
        <w:widowControl w:val="0"/>
        <w:numPr>
          <w:ilvl w:val="0"/>
          <w:numId w:val="25"/>
        </w:numPr>
        <w:tabs>
          <w:tab w:val="clear" w:pos="720"/>
          <w:tab w:val="num" w:pos="360"/>
          <w:tab w:val="num" w:pos="900"/>
          <w:tab w:val="num" w:pos="7380"/>
        </w:tabs>
        <w:suppressAutoHyphens/>
        <w:overflowPunct w:val="0"/>
        <w:autoSpaceDE w:val="0"/>
        <w:autoSpaceDN w:val="0"/>
        <w:adjustRightInd w:val="0"/>
        <w:spacing w:after="0" w:line="240" w:lineRule="auto"/>
        <w:ind w:left="360"/>
        <w:rPr>
          <w:b/>
          <w:bCs/>
        </w:rPr>
      </w:pPr>
      <w:r w:rsidRPr="001830FF">
        <w:rPr>
          <w:b/>
          <w:bCs/>
        </w:rPr>
        <w:t xml:space="preserve">Provide a written explanation of comments not accepted and the reasons why these comments were not accepted.  </w:t>
      </w:r>
    </w:p>
    <w:p w:rsidR="00170BD4" w:rsidRPr="00F43011" w:rsidRDefault="00170BD4" w:rsidP="005D550A">
      <w:pPr>
        <w:autoSpaceDE w:val="0"/>
        <w:autoSpaceDN w:val="0"/>
        <w:adjustRightInd w:val="0"/>
        <w:jc w:val="both"/>
      </w:pPr>
      <w:r w:rsidRPr="00F43011">
        <w:t>N/A</w:t>
      </w:r>
    </w:p>
    <w:p w:rsidR="00170BD4" w:rsidRPr="00107844" w:rsidRDefault="00170BD4">
      <w:pPr>
        <w:rPr>
          <w:b/>
          <w:bCs/>
          <w:sz w:val="24"/>
          <w:szCs w:val="24"/>
        </w:rPr>
      </w:pPr>
    </w:p>
    <w:p w:rsidR="00170BD4" w:rsidRDefault="00170BD4">
      <w:pPr>
        <w:rPr>
          <w:b/>
          <w:bCs/>
          <w:sz w:val="24"/>
          <w:szCs w:val="24"/>
        </w:rPr>
      </w:pPr>
      <w:r>
        <w:rPr>
          <w:b/>
          <w:bCs/>
          <w:sz w:val="24"/>
          <w:szCs w:val="24"/>
        </w:rPr>
        <w:t>5.</w:t>
      </w:r>
      <w:r>
        <w:rPr>
          <w:b/>
          <w:bCs/>
          <w:sz w:val="24"/>
          <w:szCs w:val="24"/>
        </w:rPr>
        <w:tab/>
        <w:t>Summary of public comments</w:t>
      </w:r>
    </w:p>
    <w:p w:rsidR="00170BD4" w:rsidRDefault="00170BD4">
      <w:pPr>
        <w:rPr>
          <w:sz w:val="24"/>
          <w:szCs w:val="24"/>
        </w:rPr>
      </w:pPr>
      <w:r>
        <w:rPr>
          <w:sz w:val="24"/>
          <w:szCs w:val="24"/>
        </w:rPr>
        <w:t>This could be a brief narrative summary or reference an attached document from the Citizen Participation section of the Con Plan.</w:t>
      </w:r>
    </w:p>
    <w:p w:rsidR="00170BD4" w:rsidRDefault="00170BD4">
      <w:pPr>
        <w:rPr>
          <w:b/>
          <w:bCs/>
          <w:sz w:val="24"/>
          <w:szCs w:val="24"/>
        </w:rPr>
      </w:pPr>
      <w:r>
        <w:rPr>
          <w:b/>
          <w:bCs/>
          <w:sz w:val="24"/>
          <w:szCs w:val="24"/>
        </w:rPr>
        <w:t>6.</w:t>
      </w:r>
      <w:r>
        <w:rPr>
          <w:b/>
          <w:bCs/>
          <w:sz w:val="24"/>
          <w:szCs w:val="24"/>
        </w:rPr>
        <w:tab/>
        <w:t>Summary of comments or views not accepted and the reasons for not accepting them</w:t>
      </w:r>
    </w:p>
    <w:p w:rsidR="00170BD4" w:rsidRDefault="00170BD4">
      <w:pPr>
        <w:rPr>
          <w:b/>
          <w:bCs/>
          <w:sz w:val="24"/>
          <w:szCs w:val="24"/>
        </w:rPr>
      </w:pPr>
      <w:r>
        <w:rPr>
          <w:b/>
          <w:bCs/>
          <w:sz w:val="24"/>
          <w:szCs w:val="24"/>
        </w:rPr>
        <w:t>7.</w:t>
      </w:r>
      <w:r>
        <w:rPr>
          <w:b/>
          <w:bCs/>
          <w:sz w:val="24"/>
          <w:szCs w:val="24"/>
        </w:rPr>
        <w:tab/>
        <w:t>Summary</w:t>
      </w:r>
    </w:p>
    <w:p w:rsidR="00170BD4" w:rsidRDefault="00170BD4">
      <w:pPr>
        <w:pStyle w:val="Heading2"/>
        <w:pageBreakBefore/>
        <w:rPr>
          <w:rFonts w:ascii="Calibri" w:hAnsi="Calibri" w:cs="Calibri"/>
          <w:i w:val="0"/>
          <w:iCs w:val="0"/>
        </w:rPr>
        <w:sectPr w:rsidR="00170BD4">
          <w:footerReference w:type="default" r:id="rId14"/>
          <w:pgSz w:w="12240" w:h="15840"/>
          <w:pgMar w:top="1440" w:right="1440" w:bottom="1440" w:left="1440" w:header="720" w:footer="720" w:gutter="0"/>
          <w:cols w:space="720"/>
          <w:docGrid w:linePitch="360"/>
        </w:sectPr>
      </w:pPr>
    </w:p>
    <w:p w:rsidR="00170BD4" w:rsidRDefault="00170BD4">
      <w:pPr>
        <w:pStyle w:val="Heading2"/>
        <w:pageBreakBefore/>
        <w:rPr>
          <w:rFonts w:ascii="Calibri" w:hAnsi="Calibri" w:cs="Calibri"/>
          <w:i w:val="0"/>
          <w:iCs w:val="0"/>
        </w:rPr>
      </w:pPr>
      <w:r>
        <w:rPr>
          <w:rFonts w:ascii="Calibri" w:hAnsi="Calibri" w:cs="Calibri"/>
          <w:i w:val="0"/>
          <w:iCs w:val="0"/>
        </w:rPr>
        <w:t>PR-05 Lead &amp; Responsible Agencies – 91.200(b)</w:t>
      </w:r>
    </w:p>
    <w:p w:rsidR="00170BD4" w:rsidRDefault="00170BD4">
      <w:pPr>
        <w:keepNext/>
        <w:rPr>
          <w:b/>
          <w:bCs/>
          <w:sz w:val="24"/>
          <w:szCs w:val="24"/>
        </w:rPr>
      </w:pPr>
      <w:r>
        <w:rPr>
          <w:b/>
          <w:bCs/>
          <w:sz w:val="24"/>
          <w:szCs w:val="24"/>
        </w:rPr>
        <w:t>1.</w:t>
      </w:r>
      <w:r>
        <w:rPr>
          <w:b/>
          <w:bCs/>
          <w:sz w:val="24"/>
          <w:szCs w:val="24"/>
        </w:rPr>
        <w:tab/>
        <w:t>Agency/entity responsible for preparing/administering the Consolidated Plan</w:t>
      </w:r>
    </w:p>
    <w:p w:rsidR="00170BD4" w:rsidRDefault="00170BD4">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2"/>
        <w:gridCol w:w="4392"/>
        <w:gridCol w:w="4392"/>
      </w:tblGrid>
      <w:tr w:rsidR="00170BD4">
        <w:trPr>
          <w:cantSplit/>
          <w:tblHeader/>
        </w:trPr>
        <w:tc>
          <w:tcPr>
            <w:tcW w:w="3192" w:type="dxa"/>
          </w:tcPr>
          <w:p w:rsidR="00170BD4" w:rsidRDefault="00170BD4">
            <w:pPr>
              <w:keepNext/>
              <w:widowControl w:val="0"/>
              <w:spacing w:after="0" w:line="240" w:lineRule="auto"/>
              <w:jc w:val="center"/>
              <w:rPr>
                <w:b/>
                <w:bCs/>
              </w:rPr>
            </w:pPr>
            <w:r>
              <w:rPr>
                <w:b/>
                <w:bCs/>
              </w:rPr>
              <w:t>Agency Role</w:t>
            </w:r>
          </w:p>
        </w:tc>
        <w:tc>
          <w:tcPr>
            <w:tcW w:w="3192" w:type="dxa"/>
          </w:tcPr>
          <w:p w:rsidR="00170BD4" w:rsidRDefault="00170BD4">
            <w:pPr>
              <w:keepNext/>
              <w:widowControl w:val="0"/>
              <w:spacing w:after="0" w:line="240" w:lineRule="auto"/>
              <w:jc w:val="center"/>
              <w:rPr>
                <w:b/>
                <w:bCs/>
              </w:rPr>
            </w:pPr>
            <w:r>
              <w:rPr>
                <w:b/>
                <w:bCs/>
              </w:rPr>
              <w:t>Name</w:t>
            </w:r>
          </w:p>
        </w:tc>
        <w:tc>
          <w:tcPr>
            <w:tcW w:w="3192" w:type="dxa"/>
          </w:tcPr>
          <w:p w:rsidR="00170BD4" w:rsidRDefault="00170BD4">
            <w:pPr>
              <w:keepNext/>
              <w:widowControl w:val="0"/>
              <w:spacing w:after="0" w:line="240" w:lineRule="auto"/>
              <w:jc w:val="center"/>
              <w:rPr>
                <w:b/>
                <w:bCs/>
              </w:rPr>
            </w:pPr>
            <w:r>
              <w:rPr>
                <w:b/>
                <w:bCs/>
              </w:rPr>
              <w:t>Department/Agency</w:t>
            </w:r>
          </w:p>
        </w:tc>
      </w:tr>
      <w:tr w:rsidR="00170BD4">
        <w:trPr>
          <w:cantSplit/>
        </w:trPr>
        <w:tc>
          <w:tcPr>
            <w:tcW w:w="0" w:type="auto"/>
          </w:tcPr>
          <w:p w:rsidR="00170BD4" w:rsidRDefault="00170BD4">
            <w:pPr>
              <w:spacing w:beforeAutospacing="1" w:afterAutospacing="1"/>
            </w:pPr>
            <w:r>
              <w:rPr>
                <w:color w:val="000000"/>
              </w:rPr>
              <w:t>Lead  Agency</w:t>
            </w:r>
          </w:p>
        </w:tc>
        <w:tc>
          <w:tcPr>
            <w:tcW w:w="0" w:type="auto"/>
          </w:tcPr>
          <w:p w:rsidR="00170BD4" w:rsidRDefault="00170BD4">
            <w:pPr>
              <w:spacing w:beforeAutospacing="1" w:afterAutospacing="1"/>
            </w:pPr>
            <w:r>
              <w:rPr>
                <w:color w:val="000000"/>
              </w:rPr>
              <w:t>NORWICH</w:t>
            </w:r>
          </w:p>
        </w:tc>
        <w:tc>
          <w:tcPr>
            <w:tcW w:w="0" w:type="auto"/>
          </w:tcPr>
          <w:p w:rsidR="00170BD4" w:rsidRDefault="00170BD4">
            <w:pPr>
              <w:spacing w:beforeAutospacing="1" w:afterAutospacing="1"/>
            </w:pPr>
            <w:r>
              <w:rPr>
                <w:color w:val="000000"/>
              </w:rPr>
              <w:t xml:space="preserve"> </w:t>
            </w:r>
          </w:p>
        </w:tc>
      </w:tr>
    </w:tbl>
    <w:p w:rsidR="00170BD4" w:rsidRDefault="00170BD4">
      <w:pPr>
        <w:spacing w:after="0" w:line="240" w:lineRule="auto"/>
        <w:rPr>
          <w:b/>
          <w:bCs/>
          <w:vanish/>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2"/>
        <w:gridCol w:w="4392"/>
        <w:gridCol w:w="4392"/>
      </w:tblGrid>
      <w:tr w:rsidR="00170BD4">
        <w:trPr>
          <w:cantSplit/>
          <w:tblHeader/>
          <w:hidden/>
        </w:trPr>
        <w:tc>
          <w:tcPr>
            <w:tcW w:w="3192" w:type="dxa"/>
          </w:tcPr>
          <w:p w:rsidR="00170BD4" w:rsidRDefault="00170BD4">
            <w:pPr>
              <w:keepNext/>
              <w:widowControl w:val="0"/>
              <w:spacing w:after="0" w:line="240" w:lineRule="auto"/>
              <w:jc w:val="center"/>
              <w:rPr>
                <w:b/>
                <w:bCs/>
                <w:vanish/>
              </w:rPr>
            </w:pPr>
          </w:p>
        </w:tc>
        <w:tc>
          <w:tcPr>
            <w:tcW w:w="3192" w:type="dxa"/>
          </w:tcPr>
          <w:p w:rsidR="00170BD4" w:rsidRDefault="00170BD4">
            <w:pPr>
              <w:keepNext/>
              <w:widowControl w:val="0"/>
              <w:spacing w:after="0" w:line="240" w:lineRule="auto"/>
              <w:jc w:val="center"/>
              <w:rPr>
                <w:b/>
                <w:bCs/>
                <w:vanish/>
              </w:rPr>
            </w:pPr>
          </w:p>
        </w:tc>
        <w:tc>
          <w:tcPr>
            <w:tcW w:w="3192" w:type="dxa"/>
          </w:tcPr>
          <w:p w:rsidR="00170BD4" w:rsidRDefault="00170BD4">
            <w:pPr>
              <w:keepNext/>
              <w:widowControl w:val="0"/>
              <w:spacing w:after="0" w:line="240" w:lineRule="auto"/>
              <w:jc w:val="center"/>
              <w:rPr>
                <w:b/>
                <w:bCs/>
                <w:vanish/>
              </w:rPr>
            </w:pPr>
          </w:p>
        </w:tc>
      </w:tr>
      <w:tr w:rsidR="00170BD4">
        <w:trPr>
          <w:cantSplit/>
          <w:tblHeader/>
        </w:trPr>
        <w:tc>
          <w:tcPr>
            <w:tcW w:w="3192" w:type="dxa"/>
          </w:tcPr>
          <w:p w:rsidR="00170BD4" w:rsidRDefault="00170BD4">
            <w:pPr>
              <w:keepNext/>
              <w:widowControl w:val="0"/>
              <w:spacing w:after="0" w:line="240" w:lineRule="auto"/>
            </w:pPr>
          </w:p>
        </w:tc>
        <w:tc>
          <w:tcPr>
            <w:tcW w:w="3192" w:type="dxa"/>
          </w:tcPr>
          <w:p w:rsidR="00170BD4" w:rsidRDefault="00170BD4">
            <w:pPr>
              <w:keepNext/>
              <w:widowControl w:val="0"/>
              <w:spacing w:after="0" w:line="240" w:lineRule="auto"/>
            </w:pPr>
          </w:p>
        </w:tc>
        <w:tc>
          <w:tcPr>
            <w:tcW w:w="3192" w:type="dxa"/>
          </w:tcPr>
          <w:p w:rsidR="00170BD4" w:rsidRDefault="00170BD4">
            <w:pPr>
              <w:keepNext/>
              <w:widowControl w:val="0"/>
              <w:spacing w:after="0" w:line="240" w:lineRule="auto"/>
            </w:pPr>
          </w:p>
        </w:tc>
      </w:tr>
    </w:tbl>
    <w:p w:rsidR="00170BD4" w:rsidRDefault="00170BD4">
      <w:pPr>
        <w:pStyle w:val="Caption"/>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1</w:t>
      </w:r>
      <w:r>
        <w:rPr>
          <w:rFonts w:ascii="Calibri" w:hAnsi="Calibri" w:cs="Calibri"/>
        </w:rPr>
        <w:fldChar w:fldCharType="end"/>
      </w:r>
      <w:r>
        <w:rPr>
          <w:rFonts w:ascii="Calibri" w:hAnsi="Calibri" w:cs="Calibri"/>
        </w:rPr>
        <w:t xml:space="preserve"> – Responsible Agencies</w:t>
      </w:r>
    </w:p>
    <w:p w:rsidR="00170BD4" w:rsidRDefault="00170BD4">
      <w:pPr>
        <w:spacing w:after="0" w:line="240" w:lineRule="auto"/>
        <w:rPr>
          <w:b/>
          <w:bCs/>
          <w:sz w:val="24"/>
          <w:szCs w:val="24"/>
        </w:rPr>
      </w:pPr>
    </w:p>
    <w:p w:rsidR="00170BD4" w:rsidRDefault="00170BD4">
      <w:pPr>
        <w:rPr>
          <w:b/>
          <w:bCs/>
          <w:sz w:val="24"/>
          <w:szCs w:val="24"/>
        </w:rPr>
      </w:pPr>
      <w:r>
        <w:rPr>
          <w:b/>
          <w:bCs/>
          <w:sz w:val="24"/>
          <w:szCs w:val="24"/>
        </w:rPr>
        <w:t>Narrative (optional)</w:t>
      </w:r>
    </w:p>
    <w:p w:rsidR="00170BD4" w:rsidRDefault="00170BD4">
      <w:pPr>
        <w:rPr>
          <w:b/>
          <w:bCs/>
          <w:sz w:val="24"/>
          <w:szCs w:val="24"/>
        </w:rPr>
      </w:pPr>
      <w:r>
        <w:rPr>
          <w:b/>
          <w:bCs/>
          <w:sz w:val="24"/>
          <w:szCs w:val="24"/>
        </w:rPr>
        <w:t>Consolidated Plan Public Contact Information</w:t>
      </w:r>
    </w:p>
    <w:p w:rsidR="00170BD4" w:rsidRDefault="00170BD4">
      <w:pPr>
        <w:pStyle w:val="Heading2"/>
        <w:keepNext w:val="0"/>
        <w:pageBreakBefore/>
        <w:widowControl w:val="0"/>
        <w:rPr>
          <w:rFonts w:ascii="Calibri" w:hAnsi="Calibri" w:cs="Calibri"/>
          <w:i w:val="0"/>
          <w:iCs w:val="0"/>
        </w:rPr>
        <w:sectPr w:rsidR="00170BD4">
          <w:pgSz w:w="15840" w:h="12240" w:orient="landscape"/>
          <w:pgMar w:top="1440" w:right="1440" w:bottom="1440" w:left="1440" w:header="720" w:footer="720" w:gutter="0"/>
          <w:cols w:space="720"/>
          <w:docGrid w:linePitch="360"/>
        </w:sectPr>
      </w:pPr>
    </w:p>
    <w:p w:rsidR="00170BD4" w:rsidRDefault="00170BD4">
      <w:pPr>
        <w:pStyle w:val="Heading2"/>
        <w:keepNext w:val="0"/>
        <w:pageBreakBefore/>
        <w:widowControl w:val="0"/>
        <w:rPr>
          <w:rFonts w:ascii="Calibri" w:hAnsi="Calibri" w:cs="Calibri"/>
          <w:i w:val="0"/>
          <w:iCs w:val="0"/>
        </w:rPr>
      </w:pPr>
      <w:r>
        <w:rPr>
          <w:rFonts w:ascii="Calibri" w:hAnsi="Calibri" w:cs="Calibri"/>
          <w:i w:val="0"/>
          <w:iCs w:val="0"/>
        </w:rPr>
        <w:t>AP-10 Consultation – 91.100, 91.200(b), 91.215(l)</w:t>
      </w:r>
    </w:p>
    <w:p w:rsidR="00170BD4" w:rsidRDefault="00170BD4">
      <w:pPr>
        <w:rPr>
          <w:b/>
          <w:bCs/>
          <w:sz w:val="24"/>
          <w:szCs w:val="24"/>
        </w:rPr>
      </w:pPr>
      <w:r>
        <w:rPr>
          <w:b/>
          <w:bCs/>
          <w:sz w:val="24"/>
          <w:szCs w:val="24"/>
        </w:rPr>
        <w:t>1.</w:t>
      </w:r>
      <w:r>
        <w:rPr>
          <w:b/>
          <w:bCs/>
          <w:sz w:val="24"/>
          <w:szCs w:val="24"/>
        </w:rPr>
        <w:tab/>
        <w:t>Introduction</w:t>
      </w:r>
    </w:p>
    <w:p w:rsidR="00170BD4" w:rsidRDefault="00170BD4">
      <w:pPr>
        <w:rPr>
          <w:b/>
          <w:bCs/>
          <w:sz w:val="24"/>
          <w:szCs w:val="24"/>
        </w:rPr>
      </w:pPr>
      <w:r>
        <w:rPr>
          <w:b/>
          <w:bCs/>
          <w:sz w:val="24"/>
          <w:szCs w:val="24"/>
        </w:rPr>
        <w:t>Provide a concise summary of the jurisdiction’s activities to enhance coordination between public and assisted housing providers and private and governmental health, mental health and service agencies (91.215(l))</w:t>
      </w:r>
    </w:p>
    <w:p w:rsidR="00170BD4" w:rsidRDefault="00170BD4">
      <w:pPr>
        <w:rPr>
          <w:b/>
          <w:bCs/>
          <w:sz w:val="24"/>
          <w:szCs w:val="24"/>
        </w:rPr>
      </w:pPr>
      <w:r>
        <w:rPr>
          <w:b/>
          <w:bCs/>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170BD4" w:rsidRDefault="00170BD4">
      <w:pPr>
        <w:rPr>
          <w:b/>
          <w:bCs/>
          <w:sz w:val="24"/>
          <w:szCs w:val="24"/>
        </w:rPr>
      </w:pPr>
      <w:r>
        <w:rPr>
          <w:b/>
          <w:bCs/>
          <w:sz w:val="24"/>
          <w:szCs w:val="24"/>
        </w:rPr>
        <w:t>Describe consultation with the Continuum(s) of Care that serves the State in determining how to allocate ESG funds, develop performance standards for and evaluate outcomes of projects and activities assisted by ESG funds, and develop funding, policies and procedures for the operation and administration of HMIS</w:t>
      </w:r>
    </w:p>
    <w:p w:rsidR="00170BD4" w:rsidRDefault="00170BD4">
      <w:pPr>
        <w:rPr>
          <w:b/>
          <w:bCs/>
          <w:sz w:val="24"/>
          <w:szCs w:val="24"/>
        </w:rPr>
      </w:pPr>
      <w:r>
        <w:rPr>
          <w:b/>
          <w:bCs/>
          <w:sz w:val="24"/>
          <w:szCs w:val="24"/>
        </w:rPr>
        <w:t>2.</w:t>
      </w:r>
      <w:r>
        <w:rPr>
          <w:b/>
          <w:bCs/>
          <w:sz w:val="24"/>
          <w:szCs w:val="24"/>
        </w:rPr>
        <w:tab/>
        <w:t>Describe Agencies, groups, organizations and others who participated in the process and describe the jurisdiction’s consultations with housing, social service agencies and other entities</w:t>
      </w:r>
    </w:p>
    <w:p w:rsidR="00170BD4" w:rsidRDefault="00170BD4">
      <w:pPr>
        <w:keepNext/>
        <w:widowControl w:val="0"/>
        <w:spacing w:after="0" w:line="240" w:lineRule="auto"/>
        <w:rPr>
          <w:b/>
          <w:bCs/>
        </w:rPr>
        <w:sectPr w:rsidR="00170BD4">
          <w:pgSz w:w="12240" w:h="15840"/>
          <w:pgMar w:top="1440" w:right="1440" w:bottom="1440" w:left="1440" w:header="720" w:footer="720" w:gutter="0"/>
          <w:cols w:space="720"/>
          <w:docGrid w:linePitch="360"/>
        </w:sectPr>
      </w:pPr>
    </w:p>
    <w:p w:rsidR="00170BD4" w:rsidRDefault="00170BD4">
      <w:pPr>
        <w:pStyle w:val="Caption"/>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2</w:t>
      </w:r>
      <w:r>
        <w:rPr>
          <w:rFonts w:ascii="Calibri" w:hAnsi="Calibri" w:cs="Calibri"/>
        </w:rPr>
        <w:fldChar w:fldCharType="end"/>
      </w:r>
      <w:r>
        <w:rPr>
          <w:rFonts w:ascii="Calibri" w:hAnsi="Calibri" w:cs="Calibri"/>
        </w:rPr>
        <w:t xml:space="preserve"> – Agencies, groups, organizations who participated</w:t>
      </w:r>
    </w:p>
    <w:p w:rsidR="00170BD4" w:rsidRDefault="00170BD4"/>
    <w:p w:rsidR="00170BD4" w:rsidRDefault="00170BD4">
      <w:pPr>
        <w:rPr>
          <w:b/>
          <w:bCs/>
          <w:sz w:val="24"/>
          <w:szCs w:val="24"/>
        </w:rPr>
      </w:pPr>
      <w:r>
        <w:rPr>
          <w:b/>
          <w:bCs/>
          <w:sz w:val="24"/>
          <w:szCs w:val="24"/>
        </w:rPr>
        <w:t>Identify any Agency Types not consulted and provide rationale for not consulting</w:t>
      </w:r>
    </w:p>
    <w:p w:rsidR="00170BD4" w:rsidRDefault="00170BD4"/>
    <w:p w:rsidR="00170BD4" w:rsidRDefault="00170BD4">
      <w:pPr>
        <w:keepNext/>
        <w:rPr>
          <w:b/>
          <w:bCs/>
          <w:sz w:val="24"/>
          <w:szCs w:val="24"/>
        </w:rPr>
      </w:pPr>
      <w:r>
        <w:rPr>
          <w:b/>
          <w:bCs/>
          <w:sz w:val="24"/>
          <w:szCs w:val="24"/>
        </w:rPr>
        <w:t>Other local/regional/state/federal planning efforts considered when preparing the Plan</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2"/>
        <w:gridCol w:w="4392"/>
        <w:gridCol w:w="4392"/>
      </w:tblGrid>
      <w:tr w:rsidR="00170BD4">
        <w:trPr>
          <w:cantSplit/>
          <w:tblHeader/>
        </w:trPr>
        <w:tc>
          <w:tcPr>
            <w:tcW w:w="3192" w:type="dxa"/>
          </w:tcPr>
          <w:p w:rsidR="00170BD4" w:rsidRDefault="00170BD4">
            <w:pPr>
              <w:keepNext/>
              <w:widowControl w:val="0"/>
              <w:spacing w:after="0" w:line="240" w:lineRule="auto"/>
              <w:jc w:val="center"/>
              <w:rPr>
                <w:b/>
                <w:bCs/>
              </w:rPr>
            </w:pPr>
            <w:r>
              <w:rPr>
                <w:b/>
                <w:bCs/>
              </w:rPr>
              <w:t>Name of Plan</w:t>
            </w:r>
          </w:p>
        </w:tc>
        <w:tc>
          <w:tcPr>
            <w:tcW w:w="3192" w:type="dxa"/>
          </w:tcPr>
          <w:p w:rsidR="00170BD4" w:rsidRDefault="00170BD4">
            <w:pPr>
              <w:spacing w:after="0" w:line="240" w:lineRule="auto"/>
              <w:jc w:val="center"/>
              <w:rPr>
                <w:b/>
                <w:bCs/>
              </w:rPr>
            </w:pPr>
            <w:r>
              <w:rPr>
                <w:b/>
                <w:bCs/>
              </w:rPr>
              <w:t>Lead Organization</w:t>
            </w:r>
          </w:p>
        </w:tc>
        <w:tc>
          <w:tcPr>
            <w:tcW w:w="3192" w:type="dxa"/>
          </w:tcPr>
          <w:p w:rsidR="00170BD4" w:rsidRDefault="00170BD4">
            <w:pPr>
              <w:keepNext/>
              <w:widowControl w:val="0"/>
              <w:spacing w:after="0" w:line="240" w:lineRule="auto"/>
              <w:jc w:val="center"/>
              <w:rPr>
                <w:b/>
                <w:bCs/>
              </w:rPr>
            </w:pPr>
            <w:r>
              <w:rPr>
                <w:b/>
                <w:bCs/>
              </w:rPr>
              <w:t>How do the goals of your Strategic Plan overlap with the goals of each plan?</w:t>
            </w:r>
          </w:p>
        </w:tc>
      </w:tr>
      <w:tr w:rsidR="00170BD4">
        <w:trPr>
          <w:cantSplit/>
          <w:tblHeader/>
        </w:trPr>
        <w:tc>
          <w:tcPr>
            <w:tcW w:w="3192" w:type="dxa"/>
          </w:tcPr>
          <w:p w:rsidR="00170BD4" w:rsidRDefault="00170BD4">
            <w:pPr>
              <w:keepNext/>
              <w:widowControl w:val="0"/>
              <w:spacing w:after="0" w:line="240" w:lineRule="auto"/>
            </w:pPr>
          </w:p>
        </w:tc>
        <w:tc>
          <w:tcPr>
            <w:tcW w:w="3192" w:type="dxa"/>
          </w:tcPr>
          <w:p w:rsidR="00170BD4" w:rsidRDefault="00170BD4">
            <w:pPr>
              <w:keepNext/>
              <w:widowControl w:val="0"/>
              <w:spacing w:after="0" w:line="240" w:lineRule="auto"/>
            </w:pPr>
          </w:p>
        </w:tc>
        <w:tc>
          <w:tcPr>
            <w:tcW w:w="3192" w:type="dxa"/>
          </w:tcPr>
          <w:p w:rsidR="00170BD4" w:rsidRDefault="00170BD4">
            <w:pPr>
              <w:keepNext/>
              <w:widowControl w:val="0"/>
              <w:spacing w:after="0" w:line="240" w:lineRule="auto"/>
            </w:pPr>
          </w:p>
        </w:tc>
      </w:tr>
    </w:tbl>
    <w:p w:rsidR="00170BD4" w:rsidRDefault="00170BD4">
      <w:pPr>
        <w:pStyle w:val="Caption"/>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3</w:t>
      </w:r>
      <w:r>
        <w:rPr>
          <w:rFonts w:ascii="Calibri" w:hAnsi="Calibri" w:cs="Calibri"/>
        </w:rPr>
        <w:fldChar w:fldCharType="end"/>
      </w:r>
      <w:r>
        <w:rPr>
          <w:rFonts w:ascii="Calibri" w:hAnsi="Calibri" w:cs="Calibri"/>
        </w:rPr>
        <w:t xml:space="preserve"> – Other local / regional / federal planning efforts</w:t>
      </w:r>
    </w:p>
    <w:p w:rsidR="00170BD4" w:rsidRDefault="00170BD4"/>
    <w:p w:rsidR="00170BD4" w:rsidRDefault="00170BD4">
      <w:pPr>
        <w:rPr>
          <w:b/>
          <w:bCs/>
          <w:sz w:val="24"/>
          <w:szCs w:val="24"/>
        </w:rPr>
      </w:pPr>
      <w:r>
        <w:rPr>
          <w:b/>
          <w:bCs/>
          <w:sz w:val="24"/>
          <w:szCs w:val="24"/>
        </w:rPr>
        <w:t>Narrative (optional)</w:t>
      </w:r>
    </w:p>
    <w:p w:rsidR="00170BD4" w:rsidRDefault="00170BD4">
      <w:pPr>
        <w:sectPr w:rsidR="00170BD4">
          <w:pgSz w:w="15840" w:h="12240" w:orient="landscape"/>
          <w:pgMar w:top="1440" w:right="1440" w:bottom="1440" w:left="1440" w:header="720" w:footer="720" w:gutter="0"/>
          <w:cols w:space="720"/>
          <w:docGrid w:linePitch="360"/>
        </w:sectPr>
      </w:pPr>
    </w:p>
    <w:p w:rsidR="00170BD4" w:rsidRDefault="00170BD4">
      <w:pPr>
        <w:pStyle w:val="Heading2"/>
        <w:keepNext w:val="0"/>
        <w:pageBreakBefore/>
        <w:widowControl w:val="0"/>
        <w:rPr>
          <w:rFonts w:ascii="Calibri" w:hAnsi="Calibri" w:cs="Calibri"/>
          <w:i w:val="0"/>
          <w:iCs w:val="0"/>
        </w:rPr>
      </w:pPr>
      <w:r>
        <w:rPr>
          <w:rFonts w:ascii="Calibri" w:hAnsi="Calibri" w:cs="Calibri"/>
          <w:i w:val="0"/>
          <w:iCs w:val="0"/>
        </w:rPr>
        <w:t>AP-12 Participation – 91.105, 91.200(c)</w:t>
      </w:r>
    </w:p>
    <w:p w:rsidR="00170BD4" w:rsidRDefault="00170BD4">
      <w:pPr>
        <w:spacing w:after="0" w:line="240" w:lineRule="auto"/>
        <w:rPr>
          <w:b/>
          <w:bCs/>
          <w:sz w:val="24"/>
          <w:szCs w:val="24"/>
        </w:rPr>
      </w:pPr>
      <w:r>
        <w:rPr>
          <w:b/>
          <w:bCs/>
          <w:sz w:val="24"/>
          <w:szCs w:val="24"/>
        </w:rPr>
        <w:t>1.</w:t>
      </w:r>
      <w:r>
        <w:rPr>
          <w:b/>
          <w:bCs/>
          <w:sz w:val="24"/>
          <w:szCs w:val="24"/>
        </w:rPr>
        <w:tab/>
        <w:t>Summary of citizen participation process/Efforts made to broaden citizen participation</w:t>
      </w:r>
    </w:p>
    <w:p w:rsidR="00170BD4" w:rsidRDefault="00170BD4">
      <w:pPr>
        <w:spacing w:after="0" w:line="240" w:lineRule="auto"/>
        <w:rPr>
          <w:b/>
          <w:bCs/>
          <w:sz w:val="24"/>
          <w:szCs w:val="24"/>
        </w:rPr>
      </w:pPr>
      <w:r>
        <w:rPr>
          <w:b/>
          <w:bCs/>
          <w:sz w:val="24"/>
          <w:szCs w:val="24"/>
        </w:rPr>
        <w:t>Summarize citizen participation process and how it impacted goal-setting</w:t>
      </w:r>
    </w:p>
    <w:p w:rsidR="00170BD4" w:rsidRDefault="00170BD4">
      <w:pPr>
        <w:spacing w:after="0" w:line="240" w:lineRule="auto"/>
        <w:rPr>
          <w:b/>
          <w:bCs/>
          <w:sz w:val="24"/>
          <w:szCs w:val="24"/>
        </w:rPr>
      </w:pPr>
    </w:p>
    <w:p w:rsidR="00170BD4" w:rsidRDefault="00170BD4"/>
    <w:p w:rsidR="00170BD4" w:rsidRDefault="00170BD4">
      <w:pPr>
        <w:keepNext/>
        <w:rPr>
          <w:b/>
          <w:bCs/>
          <w:sz w:val="24"/>
          <w:szCs w:val="24"/>
        </w:rPr>
      </w:pPr>
      <w:r>
        <w:rPr>
          <w:b/>
          <w:bCs/>
          <w:sz w:val="24"/>
          <w:szCs w:val="24"/>
        </w:rPr>
        <w:t>Citizen Participation Outreach</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232"/>
        <w:gridCol w:w="1908"/>
        <w:gridCol w:w="1956"/>
        <w:gridCol w:w="2192"/>
        <w:gridCol w:w="2020"/>
        <w:gridCol w:w="2350"/>
        <w:gridCol w:w="1532"/>
      </w:tblGrid>
      <w:tr w:rsidR="00170BD4">
        <w:trPr>
          <w:cantSplit/>
          <w:tblHeader/>
        </w:trPr>
        <w:tc>
          <w:tcPr>
            <w:tcW w:w="540" w:type="pct"/>
          </w:tcPr>
          <w:p w:rsidR="00170BD4" w:rsidRDefault="00170BD4">
            <w:pPr>
              <w:keepNext/>
              <w:spacing w:after="0" w:line="240" w:lineRule="auto"/>
              <w:jc w:val="center"/>
              <w:rPr>
                <w:b/>
                <w:bCs/>
              </w:rPr>
            </w:pPr>
            <w:r>
              <w:rPr>
                <w:b/>
                <w:bCs/>
              </w:rPr>
              <w:t>Sort Order</w:t>
            </w:r>
          </w:p>
        </w:tc>
        <w:tc>
          <w:tcPr>
            <w:tcW w:w="540" w:type="pct"/>
          </w:tcPr>
          <w:p w:rsidR="00170BD4" w:rsidRDefault="00170BD4">
            <w:pPr>
              <w:keepNext/>
              <w:spacing w:after="0" w:line="240" w:lineRule="auto"/>
              <w:jc w:val="center"/>
              <w:rPr>
                <w:b/>
                <w:bCs/>
              </w:rPr>
            </w:pPr>
            <w:r>
              <w:rPr>
                <w:b/>
                <w:bCs/>
              </w:rPr>
              <w:t>Mode of Outreach</w:t>
            </w:r>
          </w:p>
        </w:tc>
        <w:tc>
          <w:tcPr>
            <w:tcW w:w="783" w:type="pct"/>
          </w:tcPr>
          <w:p w:rsidR="00170BD4" w:rsidRDefault="00170BD4">
            <w:pPr>
              <w:keepNext/>
              <w:spacing w:after="0" w:line="240" w:lineRule="auto"/>
              <w:jc w:val="center"/>
              <w:rPr>
                <w:b/>
                <w:bCs/>
              </w:rPr>
            </w:pPr>
            <w:r>
              <w:rPr>
                <w:b/>
                <w:bCs/>
              </w:rPr>
              <w:t>Target of Outreach</w:t>
            </w:r>
          </w:p>
        </w:tc>
        <w:tc>
          <w:tcPr>
            <w:tcW w:w="831" w:type="pct"/>
          </w:tcPr>
          <w:p w:rsidR="00170BD4" w:rsidRDefault="00170BD4">
            <w:pPr>
              <w:keepNext/>
              <w:spacing w:after="0" w:line="240" w:lineRule="auto"/>
              <w:jc w:val="center"/>
              <w:rPr>
                <w:b/>
                <w:bCs/>
              </w:rPr>
            </w:pPr>
            <w:r>
              <w:rPr>
                <w:b/>
                <w:bCs/>
              </w:rPr>
              <w:t>Summary of </w:t>
            </w:r>
          </w:p>
          <w:p w:rsidR="00170BD4" w:rsidRDefault="00170BD4">
            <w:pPr>
              <w:keepNext/>
              <w:spacing w:after="0" w:line="240" w:lineRule="auto"/>
              <w:jc w:val="center"/>
              <w:rPr>
                <w:b/>
                <w:bCs/>
              </w:rPr>
            </w:pPr>
            <w:r>
              <w:rPr>
                <w:b/>
                <w:bCs/>
              </w:rPr>
              <w:t>response/attendance</w:t>
            </w:r>
          </w:p>
        </w:tc>
        <w:tc>
          <w:tcPr>
            <w:tcW w:w="783" w:type="pct"/>
          </w:tcPr>
          <w:p w:rsidR="00170BD4" w:rsidRDefault="00170BD4">
            <w:pPr>
              <w:keepNext/>
              <w:spacing w:after="0" w:line="240" w:lineRule="auto"/>
              <w:jc w:val="center"/>
              <w:rPr>
                <w:b/>
                <w:bCs/>
              </w:rPr>
            </w:pPr>
            <w:r>
              <w:rPr>
                <w:b/>
                <w:bCs/>
              </w:rPr>
              <w:t>Summary of </w:t>
            </w:r>
          </w:p>
          <w:p w:rsidR="00170BD4" w:rsidRDefault="00170BD4">
            <w:pPr>
              <w:keepNext/>
              <w:spacing w:after="0" w:line="240" w:lineRule="auto"/>
              <w:jc w:val="center"/>
              <w:rPr>
                <w:b/>
                <w:bCs/>
              </w:rPr>
            </w:pPr>
            <w:r>
              <w:rPr>
                <w:b/>
                <w:bCs/>
              </w:rPr>
              <w:t>comments received</w:t>
            </w:r>
          </w:p>
        </w:tc>
        <w:tc>
          <w:tcPr>
            <w:tcW w:w="783" w:type="pct"/>
          </w:tcPr>
          <w:p w:rsidR="00170BD4" w:rsidRDefault="00170BD4">
            <w:pPr>
              <w:keepNext/>
              <w:spacing w:after="0" w:line="240" w:lineRule="auto"/>
              <w:jc w:val="center"/>
              <w:rPr>
                <w:b/>
                <w:bCs/>
              </w:rPr>
            </w:pPr>
            <w:r>
              <w:rPr>
                <w:b/>
                <w:bCs/>
              </w:rPr>
              <w:t>Summary of comments not accepted and reasons</w:t>
            </w:r>
          </w:p>
        </w:tc>
        <w:tc>
          <w:tcPr>
            <w:tcW w:w="740" w:type="pct"/>
          </w:tcPr>
          <w:p w:rsidR="00170BD4" w:rsidRDefault="00170BD4">
            <w:pPr>
              <w:keepNext/>
              <w:spacing w:after="0" w:line="240" w:lineRule="auto"/>
              <w:jc w:val="center"/>
              <w:rPr>
                <w:b/>
                <w:bCs/>
              </w:rPr>
            </w:pPr>
            <w:r>
              <w:rPr>
                <w:b/>
                <w:bCs/>
              </w:rPr>
              <w:t>URL (If applicable)</w:t>
            </w:r>
          </w:p>
        </w:tc>
      </w:tr>
      <w:tr w:rsidR="00170BD4">
        <w:trPr>
          <w:cantSplit/>
        </w:trPr>
        <w:tc>
          <w:tcPr>
            <w:tcW w:w="540" w:type="pct"/>
          </w:tcPr>
          <w:p w:rsidR="00170BD4" w:rsidRDefault="00170BD4">
            <w:pPr>
              <w:keepNext/>
              <w:spacing w:after="0" w:line="240" w:lineRule="auto"/>
            </w:pPr>
          </w:p>
        </w:tc>
        <w:tc>
          <w:tcPr>
            <w:tcW w:w="540" w:type="pct"/>
          </w:tcPr>
          <w:p w:rsidR="00170BD4" w:rsidRDefault="00170BD4">
            <w:pPr>
              <w:keepNext/>
              <w:spacing w:after="0" w:line="240" w:lineRule="auto"/>
            </w:pPr>
          </w:p>
        </w:tc>
        <w:tc>
          <w:tcPr>
            <w:tcW w:w="783" w:type="pct"/>
          </w:tcPr>
          <w:p w:rsidR="00170BD4" w:rsidRDefault="00170BD4">
            <w:pPr>
              <w:keepNext/>
              <w:spacing w:after="0" w:line="240" w:lineRule="auto"/>
            </w:pPr>
          </w:p>
        </w:tc>
        <w:tc>
          <w:tcPr>
            <w:tcW w:w="831" w:type="pct"/>
          </w:tcPr>
          <w:p w:rsidR="00170BD4" w:rsidRDefault="00170BD4">
            <w:pPr>
              <w:keepNext/>
              <w:spacing w:after="0" w:line="240" w:lineRule="auto"/>
            </w:pPr>
          </w:p>
        </w:tc>
        <w:tc>
          <w:tcPr>
            <w:tcW w:w="783" w:type="pct"/>
          </w:tcPr>
          <w:p w:rsidR="00170BD4" w:rsidRDefault="00170BD4">
            <w:pPr>
              <w:keepNext/>
              <w:spacing w:after="0" w:line="240" w:lineRule="auto"/>
            </w:pPr>
          </w:p>
        </w:tc>
        <w:tc>
          <w:tcPr>
            <w:tcW w:w="783" w:type="pct"/>
          </w:tcPr>
          <w:p w:rsidR="00170BD4" w:rsidRDefault="00170BD4">
            <w:pPr>
              <w:keepNext/>
              <w:spacing w:after="0" w:line="240" w:lineRule="auto"/>
            </w:pPr>
          </w:p>
        </w:tc>
        <w:tc>
          <w:tcPr>
            <w:tcW w:w="740" w:type="pct"/>
          </w:tcPr>
          <w:p w:rsidR="00170BD4" w:rsidRDefault="00170BD4">
            <w:pPr>
              <w:keepNext/>
              <w:spacing w:after="0" w:line="240" w:lineRule="auto"/>
            </w:pPr>
          </w:p>
        </w:tc>
      </w:tr>
    </w:tbl>
    <w:p w:rsidR="00170BD4" w:rsidRDefault="00170BD4">
      <w:pPr>
        <w:pStyle w:val="Caption"/>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4</w:t>
      </w:r>
      <w:r>
        <w:rPr>
          <w:rFonts w:ascii="Calibri" w:hAnsi="Calibri" w:cs="Calibri"/>
        </w:rPr>
        <w:fldChar w:fldCharType="end"/>
      </w:r>
      <w:r>
        <w:rPr>
          <w:rFonts w:ascii="Calibri" w:hAnsi="Calibri" w:cs="Calibri"/>
        </w:rPr>
        <w:t xml:space="preserve"> – Citizen Participation Outreach</w:t>
      </w:r>
    </w:p>
    <w:p w:rsidR="00170BD4" w:rsidRDefault="00170BD4">
      <w:pPr>
        <w:pStyle w:val="Heading1"/>
        <w:ind w:firstLine="720"/>
        <w:jc w:val="center"/>
        <w:rPr>
          <w:rFonts w:ascii="Calibri" w:hAnsi="Calibri" w:cs="Calibri"/>
          <w:color w:val="auto"/>
          <w:sz w:val="32"/>
          <w:szCs w:val="32"/>
        </w:rPr>
      </w:pPr>
    </w:p>
    <w:p w:rsidR="00170BD4" w:rsidRDefault="00170BD4"/>
    <w:p w:rsidR="00170BD4" w:rsidRDefault="00170BD4"/>
    <w:p w:rsidR="00170BD4" w:rsidRDefault="00170BD4"/>
    <w:p w:rsidR="00170BD4" w:rsidRDefault="00170BD4"/>
    <w:p w:rsidR="00170BD4" w:rsidRDefault="00170BD4"/>
    <w:p w:rsidR="00170BD4" w:rsidRDefault="00170BD4"/>
    <w:p w:rsidR="00170BD4" w:rsidRDefault="00170BD4"/>
    <w:p w:rsidR="00170BD4" w:rsidRDefault="00170BD4">
      <w:pPr>
        <w:pStyle w:val="Heading1"/>
        <w:ind w:firstLine="720"/>
        <w:jc w:val="center"/>
        <w:rPr>
          <w:rFonts w:ascii="Calibri" w:hAnsi="Calibri" w:cs="Calibri"/>
          <w:color w:val="auto"/>
          <w:sz w:val="32"/>
          <w:szCs w:val="32"/>
        </w:rPr>
      </w:pPr>
      <w:r>
        <w:rPr>
          <w:rFonts w:ascii="Calibri" w:hAnsi="Calibri" w:cs="Calibri"/>
          <w:color w:val="auto"/>
          <w:sz w:val="32"/>
          <w:szCs w:val="32"/>
        </w:rPr>
        <w:t xml:space="preserve">Expected Resources </w:t>
      </w:r>
    </w:p>
    <w:p w:rsidR="00170BD4" w:rsidRDefault="00170BD4">
      <w:pPr>
        <w:pStyle w:val="Heading2"/>
        <w:rPr>
          <w:rFonts w:ascii="Calibri" w:hAnsi="Calibri" w:cs="Calibri"/>
          <w:i w:val="0"/>
          <w:iCs w:val="0"/>
        </w:rPr>
      </w:pPr>
      <w:r>
        <w:rPr>
          <w:rFonts w:ascii="Calibri" w:hAnsi="Calibri" w:cs="Calibri"/>
          <w:i w:val="0"/>
          <w:iCs w:val="0"/>
        </w:rPr>
        <w:t>AP-15 Expected Resources – 91.220(c) (1, 2)</w:t>
      </w:r>
    </w:p>
    <w:p w:rsidR="00170BD4" w:rsidRDefault="00170BD4">
      <w:pPr>
        <w:keepNext/>
        <w:widowControl w:val="0"/>
        <w:spacing w:line="204" w:lineRule="auto"/>
        <w:rPr>
          <w:b/>
          <w:bCs/>
          <w:sz w:val="28"/>
          <w:szCs w:val="28"/>
        </w:rPr>
      </w:pPr>
      <w:r>
        <w:rPr>
          <w:b/>
          <w:bCs/>
          <w:sz w:val="24"/>
          <w:szCs w:val="24"/>
        </w:rPr>
        <w:t>Introduction</w:t>
      </w:r>
    </w:p>
    <w:p w:rsidR="00170BD4" w:rsidRDefault="00170BD4">
      <w:pPr>
        <w:keepNext/>
        <w:widowControl w:val="0"/>
        <w:rPr>
          <w:b/>
          <w:bCs/>
          <w:sz w:val="24"/>
          <w:szCs w:val="24"/>
        </w:rPr>
      </w:pPr>
      <w:r>
        <w:rPr>
          <w:b/>
          <w:bCs/>
          <w:sz w:val="24"/>
          <w:szCs w:val="24"/>
        </w:rPr>
        <w:t>Priority Table</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827"/>
        <w:gridCol w:w="1953"/>
        <w:gridCol w:w="1215"/>
        <w:gridCol w:w="1271"/>
        <w:gridCol w:w="1271"/>
        <w:gridCol w:w="1090"/>
        <w:gridCol w:w="1271"/>
        <w:gridCol w:w="2470"/>
      </w:tblGrid>
      <w:tr w:rsidR="00170BD4">
        <w:trPr>
          <w:cantSplit/>
          <w:tblHeader/>
        </w:trPr>
        <w:tc>
          <w:tcPr>
            <w:tcW w:w="1793" w:type="dxa"/>
            <w:vMerge w:val="restart"/>
          </w:tcPr>
          <w:p w:rsidR="00170BD4" w:rsidRDefault="00170BD4">
            <w:pPr>
              <w:keepNext/>
              <w:widowControl w:val="0"/>
              <w:spacing w:after="0" w:line="240" w:lineRule="auto"/>
              <w:jc w:val="center"/>
              <w:rPr>
                <w:b/>
                <w:bCs/>
                <w:sz w:val="24"/>
                <w:szCs w:val="24"/>
              </w:rPr>
            </w:pPr>
            <w:r>
              <w:rPr>
                <w:b/>
                <w:bCs/>
                <w:sz w:val="20"/>
                <w:szCs w:val="20"/>
              </w:rPr>
              <w:t>Program</w:t>
            </w:r>
          </w:p>
        </w:tc>
        <w:tc>
          <w:tcPr>
            <w:tcW w:w="820" w:type="dxa"/>
            <w:vMerge w:val="restart"/>
          </w:tcPr>
          <w:p w:rsidR="00170BD4" w:rsidRDefault="00170BD4">
            <w:pPr>
              <w:keepNext/>
              <w:widowControl w:val="0"/>
              <w:spacing w:after="0" w:line="240" w:lineRule="auto"/>
              <w:jc w:val="center"/>
              <w:rPr>
                <w:b/>
                <w:bCs/>
                <w:sz w:val="24"/>
                <w:szCs w:val="24"/>
              </w:rPr>
            </w:pPr>
            <w:r>
              <w:rPr>
                <w:b/>
                <w:bCs/>
                <w:sz w:val="20"/>
                <w:szCs w:val="20"/>
              </w:rPr>
              <w:t>Source of Funds</w:t>
            </w:r>
          </w:p>
        </w:tc>
        <w:tc>
          <w:tcPr>
            <w:tcW w:w="1936" w:type="dxa"/>
            <w:vMerge w:val="restart"/>
          </w:tcPr>
          <w:p w:rsidR="00170BD4" w:rsidRDefault="00170BD4">
            <w:pPr>
              <w:keepNext/>
              <w:widowControl w:val="0"/>
              <w:spacing w:after="0" w:line="240" w:lineRule="auto"/>
              <w:jc w:val="center"/>
              <w:rPr>
                <w:b/>
                <w:bCs/>
                <w:sz w:val="24"/>
                <w:szCs w:val="24"/>
              </w:rPr>
            </w:pPr>
            <w:r>
              <w:rPr>
                <w:b/>
                <w:bCs/>
                <w:sz w:val="20"/>
                <w:szCs w:val="20"/>
              </w:rPr>
              <w:t>Uses of Funds</w:t>
            </w:r>
          </w:p>
        </w:tc>
        <w:tc>
          <w:tcPr>
            <w:tcW w:w="4804" w:type="dxa"/>
            <w:gridSpan w:val="4"/>
          </w:tcPr>
          <w:p w:rsidR="00170BD4" w:rsidRDefault="00170BD4">
            <w:pPr>
              <w:keepNext/>
              <w:widowControl w:val="0"/>
              <w:spacing w:after="0" w:line="240" w:lineRule="auto"/>
              <w:jc w:val="center"/>
              <w:rPr>
                <w:b/>
                <w:bCs/>
                <w:sz w:val="24"/>
                <w:szCs w:val="24"/>
              </w:rPr>
            </w:pPr>
            <w:r>
              <w:rPr>
                <w:b/>
                <w:bCs/>
                <w:sz w:val="20"/>
                <w:szCs w:val="20"/>
              </w:rPr>
              <w:t>Expected Amount Available Year 1</w:t>
            </w:r>
          </w:p>
        </w:tc>
        <w:tc>
          <w:tcPr>
            <w:tcW w:w="1260" w:type="dxa"/>
            <w:vMerge w:val="restart"/>
          </w:tcPr>
          <w:p w:rsidR="00170BD4" w:rsidRDefault="00170BD4">
            <w:pPr>
              <w:keepNext/>
              <w:widowControl w:val="0"/>
              <w:spacing w:after="0" w:line="240" w:lineRule="auto"/>
              <w:jc w:val="center"/>
              <w:rPr>
                <w:b/>
                <w:bCs/>
                <w:sz w:val="20"/>
                <w:szCs w:val="20"/>
              </w:rPr>
            </w:pPr>
            <w:r>
              <w:rPr>
                <w:b/>
                <w:bCs/>
                <w:sz w:val="20"/>
                <w:szCs w:val="20"/>
              </w:rPr>
              <w:t xml:space="preserve">Expected Amount Available Reminder of ConPlan </w:t>
            </w:r>
          </w:p>
          <w:p w:rsidR="00170BD4" w:rsidRDefault="00170BD4">
            <w:pPr>
              <w:keepNext/>
              <w:widowControl w:val="0"/>
              <w:spacing w:after="0" w:line="240" w:lineRule="auto"/>
              <w:jc w:val="center"/>
              <w:rPr>
                <w:b/>
                <w:bCs/>
                <w:sz w:val="24"/>
                <w:szCs w:val="24"/>
              </w:rPr>
            </w:pPr>
            <w:r>
              <w:rPr>
                <w:b/>
                <w:bCs/>
                <w:sz w:val="20"/>
                <w:szCs w:val="20"/>
              </w:rPr>
              <w:t>$</w:t>
            </w:r>
          </w:p>
        </w:tc>
        <w:tc>
          <w:tcPr>
            <w:tcW w:w="2448" w:type="dxa"/>
            <w:vMerge w:val="restart"/>
          </w:tcPr>
          <w:p w:rsidR="00170BD4" w:rsidRDefault="00170BD4">
            <w:pPr>
              <w:keepNext/>
              <w:widowControl w:val="0"/>
              <w:spacing w:after="0" w:line="240" w:lineRule="auto"/>
              <w:jc w:val="center"/>
              <w:rPr>
                <w:b/>
                <w:bCs/>
                <w:sz w:val="24"/>
                <w:szCs w:val="24"/>
              </w:rPr>
            </w:pPr>
            <w:r>
              <w:rPr>
                <w:b/>
                <w:bCs/>
                <w:sz w:val="20"/>
                <w:szCs w:val="20"/>
              </w:rPr>
              <w:t>Narrative Description</w:t>
            </w:r>
          </w:p>
        </w:tc>
      </w:tr>
      <w:tr w:rsidR="00170BD4">
        <w:trPr>
          <w:cantSplit/>
          <w:tblHeader/>
        </w:trPr>
        <w:tc>
          <w:tcPr>
            <w:tcW w:w="1793" w:type="dxa"/>
            <w:vMerge/>
          </w:tcPr>
          <w:p w:rsidR="00170BD4" w:rsidRDefault="00170BD4">
            <w:pPr>
              <w:keepNext/>
              <w:widowControl w:val="0"/>
              <w:spacing w:after="0" w:line="240" w:lineRule="auto"/>
              <w:jc w:val="center"/>
              <w:rPr>
                <w:b/>
                <w:bCs/>
                <w:sz w:val="24"/>
                <w:szCs w:val="24"/>
              </w:rPr>
            </w:pPr>
          </w:p>
        </w:tc>
        <w:tc>
          <w:tcPr>
            <w:tcW w:w="820" w:type="dxa"/>
            <w:vMerge/>
          </w:tcPr>
          <w:p w:rsidR="00170BD4" w:rsidRDefault="00170BD4">
            <w:pPr>
              <w:keepNext/>
              <w:widowControl w:val="0"/>
              <w:spacing w:after="0" w:line="240" w:lineRule="auto"/>
              <w:jc w:val="center"/>
              <w:rPr>
                <w:b/>
                <w:bCs/>
                <w:sz w:val="24"/>
                <w:szCs w:val="24"/>
              </w:rPr>
            </w:pPr>
          </w:p>
        </w:tc>
        <w:tc>
          <w:tcPr>
            <w:tcW w:w="1936" w:type="dxa"/>
            <w:vMerge/>
          </w:tcPr>
          <w:p w:rsidR="00170BD4" w:rsidRDefault="00170BD4">
            <w:pPr>
              <w:keepNext/>
              <w:widowControl w:val="0"/>
              <w:spacing w:after="0" w:line="240" w:lineRule="auto"/>
              <w:jc w:val="center"/>
              <w:rPr>
                <w:b/>
                <w:bCs/>
                <w:sz w:val="24"/>
                <w:szCs w:val="24"/>
              </w:rPr>
            </w:pPr>
          </w:p>
        </w:tc>
        <w:tc>
          <w:tcPr>
            <w:tcW w:w="1204" w:type="dxa"/>
          </w:tcPr>
          <w:p w:rsidR="00170BD4" w:rsidRDefault="00170BD4">
            <w:pPr>
              <w:keepNext/>
              <w:widowControl w:val="0"/>
              <w:spacing w:after="0" w:line="240" w:lineRule="auto"/>
              <w:jc w:val="center"/>
              <w:rPr>
                <w:b/>
                <w:bCs/>
                <w:sz w:val="24"/>
                <w:szCs w:val="24"/>
              </w:rPr>
            </w:pPr>
            <w:r>
              <w:rPr>
                <w:b/>
                <w:bCs/>
                <w:sz w:val="20"/>
                <w:szCs w:val="20"/>
              </w:rPr>
              <w:t>Annual Allocation: $</w:t>
            </w:r>
          </w:p>
        </w:tc>
        <w:tc>
          <w:tcPr>
            <w:tcW w:w="1260" w:type="dxa"/>
          </w:tcPr>
          <w:p w:rsidR="00170BD4" w:rsidRDefault="00170BD4">
            <w:pPr>
              <w:keepNext/>
              <w:widowControl w:val="0"/>
              <w:spacing w:after="0" w:line="240" w:lineRule="auto"/>
              <w:jc w:val="center"/>
              <w:rPr>
                <w:b/>
                <w:bCs/>
                <w:sz w:val="24"/>
                <w:szCs w:val="24"/>
              </w:rPr>
            </w:pPr>
            <w:r>
              <w:rPr>
                <w:b/>
                <w:bCs/>
                <w:sz w:val="20"/>
                <w:szCs w:val="20"/>
              </w:rPr>
              <w:t>Program Income: $</w:t>
            </w:r>
          </w:p>
        </w:tc>
        <w:tc>
          <w:tcPr>
            <w:tcW w:w="1260" w:type="dxa"/>
          </w:tcPr>
          <w:p w:rsidR="00170BD4" w:rsidRDefault="00170BD4">
            <w:pPr>
              <w:keepNext/>
              <w:widowControl w:val="0"/>
              <w:spacing w:after="0" w:line="240" w:lineRule="auto"/>
              <w:jc w:val="center"/>
              <w:rPr>
                <w:b/>
                <w:bCs/>
                <w:sz w:val="24"/>
                <w:szCs w:val="24"/>
              </w:rPr>
            </w:pPr>
            <w:r>
              <w:rPr>
                <w:b/>
                <w:bCs/>
                <w:sz w:val="20"/>
                <w:szCs w:val="20"/>
              </w:rPr>
              <w:t>Prior Year Resources: $</w:t>
            </w:r>
          </w:p>
        </w:tc>
        <w:tc>
          <w:tcPr>
            <w:tcW w:w="1080" w:type="dxa"/>
          </w:tcPr>
          <w:p w:rsidR="00170BD4" w:rsidRDefault="00170BD4">
            <w:pPr>
              <w:keepNext/>
              <w:widowControl w:val="0"/>
              <w:spacing w:after="0" w:line="240" w:lineRule="auto"/>
              <w:jc w:val="center"/>
              <w:rPr>
                <w:b/>
                <w:bCs/>
                <w:sz w:val="20"/>
                <w:szCs w:val="20"/>
              </w:rPr>
            </w:pPr>
            <w:r>
              <w:rPr>
                <w:b/>
                <w:bCs/>
                <w:sz w:val="20"/>
                <w:szCs w:val="20"/>
              </w:rPr>
              <w:t>Total:</w:t>
            </w:r>
          </w:p>
          <w:p w:rsidR="00170BD4" w:rsidRDefault="00170BD4">
            <w:pPr>
              <w:keepNext/>
              <w:widowControl w:val="0"/>
              <w:spacing w:after="0" w:line="240" w:lineRule="auto"/>
              <w:jc w:val="center"/>
              <w:rPr>
                <w:b/>
                <w:bCs/>
                <w:sz w:val="24"/>
                <w:szCs w:val="24"/>
              </w:rPr>
            </w:pPr>
            <w:r>
              <w:rPr>
                <w:b/>
                <w:bCs/>
                <w:sz w:val="20"/>
                <w:szCs w:val="20"/>
              </w:rPr>
              <w:t>$</w:t>
            </w:r>
          </w:p>
        </w:tc>
        <w:tc>
          <w:tcPr>
            <w:tcW w:w="1260" w:type="dxa"/>
            <w:vMerge/>
          </w:tcPr>
          <w:p w:rsidR="00170BD4" w:rsidRDefault="00170BD4">
            <w:pPr>
              <w:keepNext/>
              <w:widowControl w:val="0"/>
              <w:spacing w:after="0" w:line="240" w:lineRule="auto"/>
              <w:jc w:val="center"/>
              <w:rPr>
                <w:b/>
                <w:bCs/>
                <w:sz w:val="24"/>
                <w:szCs w:val="24"/>
              </w:rPr>
            </w:pPr>
          </w:p>
        </w:tc>
        <w:tc>
          <w:tcPr>
            <w:tcW w:w="2448" w:type="dxa"/>
            <w:vMerge/>
          </w:tcPr>
          <w:p w:rsidR="00170BD4" w:rsidRDefault="00170BD4">
            <w:pPr>
              <w:keepNext/>
              <w:widowControl w:val="0"/>
              <w:spacing w:after="0" w:line="240" w:lineRule="auto"/>
              <w:jc w:val="center"/>
              <w:rPr>
                <w:b/>
                <w:bCs/>
                <w:sz w:val="24"/>
                <w:szCs w:val="24"/>
              </w:rPr>
            </w:pPr>
          </w:p>
        </w:tc>
      </w:tr>
      <w:tr w:rsidR="00170BD4">
        <w:trPr>
          <w:cantSplit/>
          <w:tblHeader/>
        </w:trPr>
        <w:tc>
          <w:tcPr>
            <w:tcW w:w="1793" w:type="dxa"/>
          </w:tcPr>
          <w:p w:rsidR="00170BD4" w:rsidRDefault="00170BD4">
            <w:pPr>
              <w:keepNext/>
              <w:widowControl w:val="0"/>
              <w:spacing w:after="0" w:line="240" w:lineRule="auto"/>
              <w:jc w:val="center"/>
              <w:rPr>
                <w:b/>
                <w:bCs/>
              </w:rPr>
            </w:pPr>
          </w:p>
        </w:tc>
        <w:tc>
          <w:tcPr>
            <w:tcW w:w="820" w:type="dxa"/>
          </w:tcPr>
          <w:p w:rsidR="00170BD4" w:rsidRDefault="00170BD4">
            <w:pPr>
              <w:keepNext/>
              <w:widowControl w:val="0"/>
              <w:spacing w:after="0" w:line="240" w:lineRule="auto"/>
              <w:jc w:val="center"/>
              <w:rPr>
                <w:b/>
                <w:bCs/>
              </w:rPr>
            </w:pPr>
          </w:p>
        </w:tc>
        <w:tc>
          <w:tcPr>
            <w:tcW w:w="1936" w:type="dxa"/>
          </w:tcPr>
          <w:p w:rsidR="00170BD4" w:rsidRDefault="00170BD4">
            <w:pPr>
              <w:keepNext/>
              <w:widowControl w:val="0"/>
              <w:spacing w:after="0" w:line="240" w:lineRule="auto"/>
              <w:jc w:val="center"/>
              <w:rPr>
                <w:b/>
                <w:bCs/>
              </w:rPr>
            </w:pPr>
          </w:p>
        </w:tc>
        <w:tc>
          <w:tcPr>
            <w:tcW w:w="1204" w:type="dxa"/>
          </w:tcPr>
          <w:p w:rsidR="00170BD4" w:rsidRDefault="00170BD4">
            <w:pPr>
              <w:keepNext/>
              <w:widowControl w:val="0"/>
              <w:spacing w:after="0" w:line="240" w:lineRule="auto"/>
              <w:jc w:val="center"/>
              <w:rPr>
                <w:b/>
                <w:bCs/>
              </w:rPr>
            </w:pPr>
          </w:p>
        </w:tc>
        <w:tc>
          <w:tcPr>
            <w:tcW w:w="1260" w:type="dxa"/>
          </w:tcPr>
          <w:p w:rsidR="00170BD4" w:rsidRDefault="00170BD4">
            <w:pPr>
              <w:keepNext/>
              <w:widowControl w:val="0"/>
              <w:spacing w:after="0" w:line="240" w:lineRule="auto"/>
              <w:jc w:val="center"/>
              <w:rPr>
                <w:b/>
                <w:bCs/>
              </w:rPr>
            </w:pPr>
          </w:p>
        </w:tc>
        <w:tc>
          <w:tcPr>
            <w:tcW w:w="1260" w:type="dxa"/>
          </w:tcPr>
          <w:p w:rsidR="00170BD4" w:rsidRDefault="00170BD4">
            <w:pPr>
              <w:keepNext/>
              <w:widowControl w:val="0"/>
              <w:spacing w:after="0" w:line="240" w:lineRule="auto"/>
              <w:jc w:val="center"/>
              <w:rPr>
                <w:b/>
                <w:bCs/>
              </w:rPr>
            </w:pPr>
          </w:p>
        </w:tc>
        <w:tc>
          <w:tcPr>
            <w:tcW w:w="1080" w:type="dxa"/>
          </w:tcPr>
          <w:p w:rsidR="00170BD4" w:rsidRDefault="00170BD4">
            <w:pPr>
              <w:keepNext/>
              <w:widowControl w:val="0"/>
              <w:spacing w:after="0" w:line="240" w:lineRule="auto"/>
              <w:jc w:val="center"/>
              <w:rPr>
                <w:b/>
                <w:bCs/>
              </w:rPr>
            </w:pPr>
          </w:p>
        </w:tc>
        <w:tc>
          <w:tcPr>
            <w:tcW w:w="1260" w:type="dxa"/>
          </w:tcPr>
          <w:p w:rsidR="00170BD4" w:rsidRDefault="00170BD4">
            <w:pPr>
              <w:keepNext/>
              <w:widowControl w:val="0"/>
              <w:spacing w:after="0" w:line="240" w:lineRule="auto"/>
              <w:jc w:val="center"/>
              <w:rPr>
                <w:b/>
                <w:bCs/>
              </w:rPr>
            </w:pPr>
          </w:p>
        </w:tc>
        <w:tc>
          <w:tcPr>
            <w:tcW w:w="2448" w:type="dxa"/>
          </w:tcPr>
          <w:p w:rsidR="00170BD4" w:rsidRDefault="00170BD4">
            <w:pPr>
              <w:keepNext/>
              <w:widowControl w:val="0"/>
              <w:spacing w:after="0" w:line="240" w:lineRule="auto"/>
              <w:jc w:val="center"/>
              <w:rPr>
                <w:b/>
                <w:bCs/>
              </w:rPr>
            </w:pPr>
          </w:p>
        </w:tc>
      </w:tr>
    </w:tbl>
    <w:p w:rsidR="00170BD4" w:rsidRDefault="00170BD4">
      <w:pPr>
        <w:pStyle w:val="Caption"/>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5</w:t>
      </w:r>
      <w:r>
        <w:rPr>
          <w:rFonts w:ascii="Calibri" w:hAnsi="Calibri" w:cs="Calibri"/>
        </w:rPr>
        <w:fldChar w:fldCharType="end"/>
      </w:r>
      <w:r>
        <w:rPr>
          <w:rFonts w:ascii="Calibri" w:hAnsi="Calibri" w:cs="Calibri"/>
        </w:rPr>
        <w:t xml:space="preserve"> - Expected Resources – Priority Table</w:t>
      </w:r>
    </w:p>
    <w:p w:rsidR="00170BD4" w:rsidRDefault="00170BD4">
      <w:pPr>
        <w:spacing w:after="0" w:line="240" w:lineRule="auto"/>
        <w:rPr>
          <w:b/>
          <w:bCs/>
          <w:sz w:val="24"/>
          <w:szCs w:val="24"/>
        </w:rPr>
      </w:pPr>
    </w:p>
    <w:p w:rsidR="00170BD4" w:rsidRDefault="00170BD4">
      <w:pPr>
        <w:widowControl w:val="0"/>
        <w:rPr>
          <w:b/>
          <w:bCs/>
          <w:sz w:val="24"/>
          <w:szCs w:val="24"/>
        </w:rPr>
      </w:pPr>
      <w:r>
        <w:rPr>
          <w:b/>
          <w:bCs/>
          <w:sz w:val="24"/>
          <w:szCs w:val="24"/>
        </w:rPr>
        <w:t>Explain how federal funds will leverage those additional resources (private, state and local funds), including a description of how matching requirements will be satisfied</w:t>
      </w:r>
    </w:p>
    <w:p w:rsidR="00170BD4" w:rsidRDefault="00170BD4">
      <w:pPr>
        <w:keepNext/>
        <w:widowControl w:val="0"/>
        <w:rPr>
          <w:b/>
          <w:bCs/>
          <w:sz w:val="24"/>
          <w:szCs w:val="24"/>
        </w:rPr>
      </w:pPr>
      <w:r>
        <w:rPr>
          <w:b/>
          <w:bCs/>
          <w:sz w:val="24"/>
          <w:szCs w:val="24"/>
        </w:rPr>
        <w:t>If appropriate, describe publically owned land or property located within the jurisdiction that may be used to address the needs identified in the plan</w:t>
      </w:r>
    </w:p>
    <w:p w:rsidR="00170BD4" w:rsidRDefault="00170BD4">
      <w:pPr>
        <w:keepNext/>
        <w:widowControl w:val="0"/>
        <w:spacing w:line="204" w:lineRule="auto"/>
        <w:rPr>
          <w:b/>
          <w:bCs/>
          <w:sz w:val="24"/>
          <w:szCs w:val="24"/>
        </w:rPr>
      </w:pPr>
      <w:r>
        <w:rPr>
          <w:b/>
          <w:bCs/>
          <w:sz w:val="24"/>
          <w:szCs w:val="24"/>
        </w:rPr>
        <w:t>Discussion</w:t>
      </w:r>
    </w:p>
    <w:p w:rsidR="00170BD4" w:rsidRDefault="00170BD4">
      <w:pPr>
        <w:rPr>
          <w:b/>
          <w:bCs/>
          <w:i/>
          <w:iCs/>
          <w:sz w:val="26"/>
          <w:szCs w:val="26"/>
        </w:rPr>
        <w:sectPr w:rsidR="00170BD4">
          <w:pgSz w:w="15840" w:h="12240" w:orient="landscape"/>
          <w:pgMar w:top="1440" w:right="1440" w:bottom="1440" w:left="1440" w:header="720" w:footer="720" w:gutter="0"/>
          <w:cols w:space="720"/>
          <w:docGrid w:linePitch="360"/>
        </w:sectPr>
      </w:pPr>
    </w:p>
    <w:p w:rsidR="00170BD4" w:rsidRDefault="00170BD4">
      <w:pPr>
        <w:pStyle w:val="Heading1"/>
        <w:pageBreakBefore/>
        <w:jc w:val="center"/>
        <w:rPr>
          <w:rFonts w:ascii="Calibri" w:hAnsi="Calibri" w:cs="Calibri"/>
          <w:color w:val="auto"/>
          <w:sz w:val="32"/>
          <w:szCs w:val="32"/>
        </w:rPr>
      </w:pPr>
      <w:bookmarkStart w:id="1" w:name="_Toc309810474"/>
      <w:r>
        <w:rPr>
          <w:rFonts w:ascii="Calibri" w:hAnsi="Calibri" w:cs="Calibri"/>
          <w:color w:val="auto"/>
          <w:sz w:val="32"/>
          <w:szCs w:val="32"/>
        </w:rPr>
        <w:t>Annual Goals and Objectives</w:t>
      </w:r>
    </w:p>
    <w:p w:rsidR="00170BD4" w:rsidRDefault="00170BD4">
      <w:pPr>
        <w:rPr>
          <w:b/>
          <w:bCs/>
          <w:sz w:val="28"/>
          <w:szCs w:val="28"/>
        </w:rPr>
      </w:pPr>
    </w:p>
    <w:p w:rsidR="00170BD4" w:rsidRDefault="00170BD4">
      <w:pPr>
        <w:rPr>
          <w:b/>
          <w:bCs/>
          <w:sz w:val="28"/>
          <w:szCs w:val="28"/>
        </w:rPr>
      </w:pPr>
      <w:r>
        <w:rPr>
          <w:b/>
          <w:bCs/>
          <w:sz w:val="28"/>
          <w:szCs w:val="28"/>
        </w:rPr>
        <w:t>AP-20 Annual Goals and Objectives - 91.420, 91.220(c)(3)&amp;(e)</w:t>
      </w:r>
    </w:p>
    <w:p w:rsidR="00170BD4" w:rsidRDefault="00170BD4">
      <w:pPr>
        <w:keepNext/>
        <w:widowControl w:val="0"/>
        <w:rPr>
          <w:b/>
          <w:bCs/>
          <w:sz w:val="24"/>
          <w:szCs w:val="24"/>
        </w:rPr>
      </w:pPr>
      <w:r>
        <w:rPr>
          <w:b/>
          <w:bCs/>
          <w:sz w:val="24"/>
          <w:szCs w:val="24"/>
        </w:rPr>
        <w:t xml:space="preserve">Goals Summary Information </w:t>
      </w:r>
    </w:p>
    <w:p w:rsidR="00170BD4" w:rsidRDefault="00170BD4">
      <w:pPr>
        <w:keepNext/>
        <w:widowControl w:val="0"/>
        <w:spacing w:line="204" w:lineRule="auto"/>
      </w:pPr>
      <w:r>
        <w:rPr>
          <w:b/>
          <w:bCs/>
          <w:sz w:val="24"/>
          <w:szCs w:val="24"/>
        </w:rPr>
        <w:t>No Goals Found</w:t>
      </w:r>
    </w:p>
    <w:p w:rsidR="00170BD4" w:rsidRDefault="00170BD4">
      <w:pPr>
        <w:pStyle w:val="Caption"/>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6</w:t>
      </w:r>
      <w:r>
        <w:rPr>
          <w:rFonts w:ascii="Calibri" w:hAnsi="Calibri" w:cs="Calibri"/>
        </w:rPr>
        <w:fldChar w:fldCharType="end"/>
      </w:r>
      <w:r>
        <w:rPr>
          <w:rFonts w:ascii="Calibri" w:hAnsi="Calibri" w:cs="Calibri"/>
        </w:rPr>
        <w:t xml:space="preserve"> – Goals Summary&lt;TYPE=[text] REPORT_GUID=[9B4786E64DDAC839A8E119B13CB7DB46]&gt;</w:t>
      </w:r>
    </w:p>
    <w:p w:rsidR="00170BD4" w:rsidRDefault="00170BD4"/>
    <w:p w:rsidR="00170BD4" w:rsidRDefault="00170BD4">
      <w:pPr>
        <w:rPr>
          <w:b/>
          <w:bCs/>
          <w:sz w:val="24"/>
          <w:szCs w:val="24"/>
        </w:rPr>
      </w:pPr>
      <w:r>
        <w:rPr>
          <w:b/>
          <w:bCs/>
          <w:sz w:val="24"/>
          <w:szCs w:val="24"/>
        </w:rPr>
        <w:t>Goal Descriptions</w:t>
      </w:r>
    </w:p>
    <w:p w:rsidR="00170BD4" w:rsidRDefault="00170BD4">
      <w:pPr>
        <w:rPr>
          <w:b/>
          <w:bCs/>
          <w:sz w:val="24"/>
          <w:szCs w:val="24"/>
        </w:rPr>
      </w:pPr>
    </w:p>
    <w:p w:rsidR="00170BD4" w:rsidRDefault="00170BD4">
      <w:pPr>
        <w:rPr>
          <w:b/>
          <w:bCs/>
          <w:sz w:val="24"/>
          <w:szCs w:val="24"/>
        </w:rPr>
      </w:pPr>
      <w:r>
        <w:rPr>
          <w:b/>
          <w:bCs/>
          <w:sz w:val="24"/>
          <w:szCs w:val="24"/>
        </w:rPr>
        <w:t>Estimate the number of extremely low-income, low-income, and moderate-income families to whom the jurisdiction will provide affordable housing as defined by HOME 91.215(b):</w:t>
      </w:r>
    </w:p>
    <w:p w:rsidR="00170BD4" w:rsidRDefault="00170BD4">
      <w:pPr>
        <w:rPr>
          <w:b/>
          <w:bCs/>
          <w:sz w:val="24"/>
          <w:szCs w:val="24"/>
        </w:rPr>
        <w:sectPr w:rsidR="00170BD4">
          <w:pgSz w:w="15840" w:h="12240" w:orient="landscape" w:code="1"/>
          <w:pgMar w:top="1440" w:right="1440" w:bottom="1440" w:left="1440" w:header="720" w:footer="720" w:gutter="0"/>
          <w:cols w:space="720"/>
          <w:docGrid w:linePitch="360"/>
        </w:sectPr>
      </w:pPr>
    </w:p>
    <w:p w:rsidR="00170BD4" w:rsidRDefault="00170BD4">
      <w:pPr>
        <w:pStyle w:val="Heading2"/>
        <w:pageBreakBefore/>
        <w:rPr>
          <w:rFonts w:ascii="Calibri" w:hAnsi="Calibri" w:cs="Calibri"/>
          <w:i w:val="0"/>
          <w:iCs w:val="0"/>
        </w:rPr>
      </w:pPr>
      <w:bookmarkStart w:id="2" w:name="_Toc309810475"/>
      <w:bookmarkEnd w:id="1"/>
      <w:r>
        <w:rPr>
          <w:rFonts w:ascii="Calibri" w:hAnsi="Calibri" w:cs="Calibri"/>
          <w:i w:val="0"/>
          <w:iCs w:val="0"/>
        </w:rPr>
        <w:t>AP-35 Projects – 91.220(d)</w:t>
      </w:r>
    </w:p>
    <w:p w:rsidR="00170BD4" w:rsidRDefault="00170BD4">
      <w:pPr>
        <w:keepNext/>
        <w:widowControl w:val="0"/>
        <w:spacing w:line="204" w:lineRule="auto"/>
        <w:rPr>
          <w:b/>
          <w:bCs/>
          <w:sz w:val="24"/>
          <w:szCs w:val="24"/>
        </w:rPr>
      </w:pPr>
      <w:r>
        <w:rPr>
          <w:b/>
          <w:bCs/>
          <w:sz w:val="24"/>
          <w:szCs w:val="24"/>
        </w:rPr>
        <w:t xml:space="preserve">Introduction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1458"/>
      </w:tblGrid>
      <w:tr w:rsidR="00170BD4">
        <w:trPr>
          <w:cantSplit/>
          <w:tblHeader/>
        </w:trPr>
        <w:tc>
          <w:tcPr>
            <w:tcW w:w="0" w:type="auto"/>
          </w:tcPr>
          <w:p w:rsidR="00170BD4" w:rsidRDefault="00170BD4">
            <w:pPr>
              <w:keepNext/>
              <w:widowControl w:val="0"/>
              <w:spacing w:after="0" w:line="240" w:lineRule="auto"/>
              <w:jc w:val="center"/>
              <w:rPr>
                <w:b/>
                <w:bCs/>
              </w:rPr>
            </w:pPr>
            <w:r>
              <w:rPr>
                <w:b/>
                <w:bCs/>
              </w:rPr>
              <w:t>#</w:t>
            </w:r>
          </w:p>
        </w:tc>
        <w:tc>
          <w:tcPr>
            <w:tcW w:w="0" w:type="auto"/>
          </w:tcPr>
          <w:p w:rsidR="00170BD4" w:rsidRDefault="00170BD4">
            <w:pPr>
              <w:keepNext/>
              <w:widowControl w:val="0"/>
              <w:spacing w:after="0" w:line="240" w:lineRule="auto"/>
              <w:jc w:val="center"/>
              <w:rPr>
                <w:b/>
                <w:bCs/>
              </w:rPr>
            </w:pPr>
            <w:r>
              <w:rPr>
                <w:b/>
                <w:bCs/>
              </w:rPr>
              <w:t>Project Name</w:t>
            </w:r>
          </w:p>
        </w:tc>
      </w:tr>
      <w:tr w:rsidR="00170BD4">
        <w:trPr>
          <w:cantSplit/>
          <w:tblHeader/>
        </w:trPr>
        <w:tc>
          <w:tcPr>
            <w:tcW w:w="0" w:type="auto"/>
          </w:tcPr>
          <w:p w:rsidR="00170BD4" w:rsidRDefault="00170BD4">
            <w:pPr>
              <w:keepNext/>
              <w:widowControl w:val="0"/>
              <w:spacing w:after="0" w:line="240" w:lineRule="auto"/>
              <w:jc w:val="center"/>
            </w:pPr>
          </w:p>
        </w:tc>
        <w:tc>
          <w:tcPr>
            <w:tcW w:w="0" w:type="auto"/>
          </w:tcPr>
          <w:p w:rsidR="00170BD4" w:rsidRDefault="00170BD4">
            <w:pPr>
              <w:keepNext/>
              <w:widowControl w:val="0"/>
              <w:spacing w:after="0" w:line="240" w:lineRule="auto"/>
              <w:jc w:val="center"/>
            </w:pPr>
          </w:p>
        </w:tc>
      </w:tr>
    </w:tbl>
    <w:p w:rsidR="00170BD4" w:rsidRDefault="00170BD4">
      <w:pPr>
        <w:pStyle w:val="Caption"/>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7</w:t>
      </w:r>
      <w:r>
        <w:rPr>
          <w:rFonts w:ascii="Calibri" w:hAnsi="Calibri" w:cs="Calibri"/>
        </w:rPr>
        <w:fldChar w:fldCharType="end"/>
      </w:r>
      <w:r>
        <w:rPr>
          <w:rFonts w:ascii="Calibri" w:hAnsi="Calibri" w:cs="Calibri"/>
        </w:rPr>
        <w:t xml:space="preserve"> – Project Information</w:t>
      </w:r>
    </w:p>
    <w:p w:rsidR="00170BD4" w:rsidRDefault="00170BD4">
      <w:pPr>
        <w:spacing w:after="0" w:line="240" w:lineRule="auto"/>
        <w:rPr>
          <w:b/>
          <w:bCs/>
          <w:sz w:val="24"/>
          <w:szCs w:val="24"/>
        </w:rPr>
      </w:pPr>
    </w:p>
    <w:p w:rsidR="00170BD4" w:rsidRDefault="00170BD4">
      <w:pPr>
        <w:keepNext/>
        <w:widowControl w:val="0"/>
        <w:spacing w:line="204" w:lineRule="auto"/>
        <w:rPr>
          <w:b/>
          <w:bCs/>
          <w:sz w:val="24"/>
          <w:szCs w:val="24"/>
        </w:rPr>
      </w:pPr>
      <w:r>
        <w:rPr>
          <w:b/>
          <w:bCs/>
          <w:sz w:val="24"/>
          <w:szCs w:val="24"/>
        </w:rPr>
        <w:t>Describe the reasons for allocation priorities and any obstacles to addressing underserved needs</w:t>
      </w:r>
    </w:p>
    <w:p w:rsidR="00170BD4" w:rsidRDefault="00170BD4">
      <w:pPr>
        <w:sectPr w:rsidR="00170BD4">
          <w:pgSz w:w="12240" w:h="15840" w:code="1"/>
          <w:pgMar w:top="1440" w:right="1440" w:bottom="1440" w:left="1440" w:header="720" w:footer="720" w:gutter="0"/>
          <w:cols w:space="720"/>
          <w:docGrid w:linePitch="360"/>
        </w:sectPr>
      </w:pPr>
    </w:p>
    <w:p w:rsidR="00170BD4" w:rsidRDefault="00170BD4"/>
    <w:p w:rsidR="00170BD4" w:rsidRDefault="00170BD4">
      <w:pPr>
        <w:pStyle w:val="Heading2"/>
        <w:jc w:val="center"/>
        <w:rPr>
          <w:rFonts w:ascii="Calibri" w:hAnsi="Calibri" w:cs="Calibri"/>
          <w:i w:val="0"/>
          <w:iCs w:val="0"/>
        </w:rPr>
      </w:pPr>
      <w:r>
        <w:rPr>
          <w:rFonts w:ascii="Calibri" w:hAnsi="Calibri" w:cs="Calibri"/>
          <w:i w:val="0"/>
          <w:iCs w:val="0"/>
          <w:sz w:val="32"/>
          <w:szCs w:val="32"/>
        </w:rPr>
        <w:t xml:space="preserve">Projects </w:t>
      </w:r>
    </w:p>
    <w:p w:rsidR="00170BD4" w:rsidRDefault="00170BD4">
      <w:pPr>
        <w:pStyle w:val="Heading2"/>
        <w:rPr>
          <w:rFonts w:ascii="Calibri" w:hAnsi="Calibri" w:cs="Calibri"/>
          <w:i w:val="0"/>
          <w:iCs w:val="0"/>
        </w:rPr>
      </w:pPr>
      <w:r>
        <w:rPr>
          <w:rFonts w:ascii="Calibri" w:hAnsi="Calibri" w:cs="Calibri"/>
          <w:i w:val="0"/>
          <w:iCs w:val="0"/>
        </w:rPr>
        <w:t>AP-38 Projects Summary</w:t>
      </w:r>
    </w:p>
    <w:p w:rsidR="00170BD4" w:rsidRDefault="00170BD4">
      <w:pPr>
        <w:keepNext/>
        <w:widowControl w:val="0"/>
        <w:rPr>
          <w:b/>
          <w:bCs/>
          <w:sz w:val="24"/>
          <w:szCs w:val="24"/>
        </w:rPr>
      </w:pPr>
      <w:r>
        <w:rPr>
          <w:b/>
          <w:bCs/>
          <w:sz w:val="24"/>
          <w:szCs w:val="24"/>
        </w:rPr>
        <w:t>Project Summary Information</w:t>
      </w:r>
    </w:p>
    <w:p w:rsidR="00170BD4" w:rsidRDefault="00170BD4">
      <w:pPr>
        <w:pStyle w:val="Caption"/>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8</w:t>
      </w:r>
      <w:r>
        <w:rPr>
          <w:rFonts w:ascii="Calibri" w:hAnsi="Calibri" w:cs="Calibri"/>
        </w:rPr>
        <w:fldChar w:fldCharType="end"/>
      </w:r>
      <w:r>
        <w:rPr>
          <w:rFonts w:ascii="Calibri" w:hAnsi="Calibri" w:cs="Calibri"/>
        </w:rPr>
        <w:t xml:space="preserve"> – Project Summary</w:t>
      </w:r>
    </w:p>
    <w:p w:rsidR="00170BD4" w:rsidRDefault="00170BD4">
      <w:pPr>
        <w:pStyle w:val="Heading2"/>
        <w:pageBreakBefore/>
        <w:rPr>
          <w:rFonts w:ascii="Calibri" w:hAnsi="Calibri" w:cs="Calibri"/>
          <w:i w:val="0"/>
          <w:iCs w:val="0"/>
        </w:rPr>
        <w:sectPr w:rsidR="00170BD4">
          <w:pgSz w:w="15840" w:h="12240" w:orient="landscape" w:code="1"/>
          <w:pgMar w:top="1440" w:right="1440" w:bottom="1440" w:left="1440" w:header="720" w:footer="720" w:gutter="0"/>
          <w:cols w:space="720"/>
          <w:docGrid w:linePitch="360"/>
        </w:sectPr>
      </w:pPr>
    </w:p>
    <w:p w:rsidR="00170BD4" w:rsidRDefault="00170BD4">
      <w:pPr>
        <w:pStyle w:val="Heading2"/>
        <w:pageBreakBefore/>
        <w:widowControl w:val="0"/>
        <w:rPr>
          <w:rFonts w:ascii="Calibri" w:hAnsi="Calibri" w:cs="Calibri"/>
          <w:i w:val="0"/>
          <w:iCs w:val="0"/>
        </w:rPr>
      </w:pPr>
      <w:bookmarkStart w:id="3" w:name="_Toc309810477"/>
      <w:bookmarkEnd w:id="2"/>
      <w:r>
        <w:rPr>
          <w:rFonts w:ascii="Calibri" w:hAnsi="Calibri" w:cs="Calibri"/>
          <w:i w:val="0"/>
          <w:iCs w:val="0"/>
        </w:rPr>
        <w:t xml:space="preserve">AP-50 Geographic Distribution </w:t>
      </w:r>
      <w:bookmarkEnd w:id="3"/>
      <w:r>
        <w:rPr>
          <w:rFonts w:ascii="Calibri" w:hAnsi="Calibri" w:cs="Calibri"/>
          <w:i w:val="0"/>
          <w:iCs w:val="0"/>
        </w:rPr>
        <w:t>– 91.220(f)</w:t>
      </w:r>
    </w:p>
    <w:p w:rsidR="00170BD4" w:rsidRDefault="00170BD4">
      <w:pPr>
        <w:keepNext/>
        <w:widowControl w:val="0"/>
        <w:rPr>
          <w:b/>
          <w:bCs/>
          <w:sz w:val="24"/>
          <w:szCs w:val="24"/>
        </w:rPr>
      </w:pPr>
      <w:r>
        <w:rPr>
          <w:b/>
          <w:bCs/>
          <w:sz w:val="24"/>
          <w:szCs w:val="24"/>
        </w:rPr>
        <w:t xml:space="preserve">Description of the geographic areas of the entitlement (including areas of low-income and minority concentration) where assistance will be directed </w:t>
      </w:r>
    </w:p>
    <w:p w:rsidR="00170BD4" w:rsidRDefault="00170BD4">
      <w:pPr>
        <w:keepNext/>
        <w:widowControl w:val="0"/>
        <w:rPr>
          <w:b/>
          <w:bCs/>
          <w:sz w:val="24"/>
          <w:szCs w:val="24"/>
        </w:rPr>
      </w:pPr>
      <w:r>
        <w:rPr>
          <w:b/>
          <w:bCs/>
          <w:sz w:val="24"/>
          <w:szCs w:val="24"/>
        </w:rPr>
        <w:t>Geographic Distribution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2074"/>
      </w:tblGrid>
      <w:tr w:rsidR="00170BD4">
        <w:trPr>
          <w:cantSplit/>
          <w:tblHeader/>
        </w:trPr>
        <w:tc>
          <w:tcPr>
            <w:tcW w:w="0" w:type="auto"/>
          </w:tcPr>
          <w:p w:rsidR="00170BD4" w:rsidRDefault="00170BD4">
            <w:pPr>
              <w:keepNext/>
              <w:widowControl w:val="0"/>
              <w:spacing w:after="0" w:line="240" w:lineRule="auto"/>
              <w:jc w:val="center"/>
              <w:rPr>
                <w:b/>
                <w:bCs/>
              </w:rPr>
            </w:pPr>
            <w:r>
              <w:rPr>
                <w:b/>
                <w:bCs/>
              </w:rPr>
              <w:t>Target Area</w:t>
            </w:r>
          </w:p>
        </w:tc>
        <w:tc>
          <w:tcPr>
            <w:tcW w:w="0" w:type="auto"/>
          </w:tcPr>
          <w:p w:rsidR="00170BD4" w:rsidRDefault="00170BD4">
            <w:pPr>
              <w:keepNext/>
              <w:widowControl w:val="0"/>
              <w:spacing w:after="0" w:line="240" w:lineRule="auto"/>
              <w:jc w:val="center"/>
              <w:rPr>
                <w:b/>
                <w:bCs/>
              </w:rPr>
            </w:pPr>
            <w:r>
              <w:rPr>
                <w:b/>
                <w:bCs/>
              </w:rPr>
              <w:t>Percentage of Funds</w:t>
            </w:r>
          </w:p>
        </w:tc>
      </w:tr>
      <w:tr w:rsidR="00170BD4">
        <w:trPr>
          <w:cantSplit/>
          <w:tblHeader/>
        </w:trPr>
        <w:tc>
          <w:tcPr>
            <w:tcW w:w="0" w:type="auto"/>
          </w:tcPr>
          <w:p w:rsidR="00170BD4" w:rsidRDefault="00170BD4">
            <w:pPr>
              <w:keepNext/>
              <w:widowControl w:val="0"/>
              <w:spacing w:after="0" w:line="240" w:lineRule="auto"/>
            </w:pPr>
          </w:p>
        </w:tc>
        <w:tc>
          <w:tcPr>
            <w:tcW w:w="0" w:type="auto"/>
          </w:tcPr>
          <w:p w:rsidR="00170BD4" w:rsidRDefault="00170BD4">
            <w:pPr>
              <w:keepNext/>
              <w:widowControl w:val="0"/>
              <w:spacing w:after="0" w:line="240" w:lineRule="auto"/>
              <w:jc w:val="center"/>
              <w:rPr>
                <w:b/>
                <w:bCs/>
              </w:rPr>
            </w:pPr>
          </w:p>
        </w:tc>
      </w:tr>
    </w:tbl>
    <w:p w:rsidR="00170BD4" w:rsidRDefault="00170BD4">
      <w:pPr>
        <w:pStyle w:val="Caption"/>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9</w:t>
      </w:r>
      <w:r>
        <w:rPr>
          <w:rFonts w:ascii="Calibri" w:hAnsi="Calibri" w:cs="Calibri"/>
        </w:rPr>
        <w:fldChar w:fldCharType="end"/>
      </w:r>
      <w:r>
        <w:rPr>
          <w:rFonts w:ascii="Calibri" w:hAnsi="Calibri" w:cs="Calibri"/>
        </w:rPr>
        <w:t xml:space="preserve"> - Geographic Distribution </w:t>
      </w:r>
    </w:p>
    <w:p w:rsidR="00170BD4" w:rsidRDefault="00170BD4">
      <w:pPr>
        <w:spacing w:after="0" w:line="240" w:lineRule="auto"/>
        <w:rPr>
          <w:b/>
          <w:bCs/>
          <w:sz w:val="24"/>
          <w:szCs w:val="24"/>
        </w:rPr>
      </w:pPr>
    </w:p>
    <w:p w:rsidR="00170BD4" w:rsidRDefault="00170BD4">
      <w:pPr>
        <w:keepNext/>
        <w:widowControl w:val="0"/>
        <w:rPr>
          <w:b/>
          <w:bCs/>
          <w:sz w:val="24"/>
          <w:szCs w:val="24"/>
        </w:rPr>
      </w:pPr>
      <w:r>
        <w:rPr>
          <w:b/>
          <w:bCs/>
          <w:sz w:val="24"/>
          <w:szCs w:val="24"/>
        </w:rPr>
        <w:t xml:space="preserve">Rationale for the priorities for allocating investments geographically </w:t>
      </w:r>
    </w:p>
    <w:p w:rsidR="00170BD4" w:rsidRDefault="00170BD4">
      <w:pPr>
        <w:keepNext/>
        <w:widowControl w:val="0"/>
        <w:spacing w:line="204" w:lineRule="auto"/>
        <w:rPr>
          <w:b/>
          <w:bCs/>
          <w:sz w:val="24"/>
          <w:szCs w:val="24"/>
        </w:rPr>
      </w:pPr>
      <w:r>
        <w:rPr>
          <w:b/>
          <w:bCs/>
          <w:sz w:val="24"/>
          <w:szCs w:val="24"/>
        </w:rPr>
        <w:t>Discussion</w:t>
      </w:r>
    </w:p>
    <w:p w:rsidR="00170BD4" w:rsidRDefault="00170BD4"/>
    <w:p w:rsidR="00170BD4" w:rsidRDefault="00170BD4">
      <w:pPr>
        <w:pStyle w:val="Heading1"/>
        <w:pageBreakBefore/>
        <w:jc w:val="center"/>
        <w:rPr>
          <w:rFonts w:ascii="Calibri" w:hAnsi="Calibri" w:cs="Calibri"/>
          <w:color w:val="auto"/>
          <w:sz w:val="32"/>
          <w:szCs w:val="32"/>
        </w:rPr>
      </w:pPr>
      <w:r>
        <w:rPr>
          <w:rFonts w:ascii="Calibri" w:hAnsi="Calibri" w:cs="Calibri"/>
          <w:color w:val="auto"/>
          <w:sz w:val="32"/>
          <w:szCs w:val="32"/>
        </w:rPr>
        <w:t xml:space="preserve">Affordable Housing </w:t>
      </w:r>
    </w:p>
    <w:p w:rsidR="00170BD4" w:rsidRDefault="00170BD4">
      <w:pPr>
        <w:pStyle w:val="Heading2"/>
        <w:widowControl w:val="0"/>
        <w:rPr>
          <w:rFonts w:ascii="Calibri" w:hAnsi="Calibri" w:cs="Calibri"/>
          <w:i w:val="0"/>
          <w:iCs w:val="0"/>
        </w:rPr>
      </w:pPr>
      <w:r>
        <w:rPr>
          <w:rFonts w:ascii="Calibri" w:hAnsi="Calibri" w:cs="Calibri"/>
          <w:i w:val="0"/>
          <w:iCs w:val="0"/>
        </w:rPr>
        <w:t>AP-55 Affordable Housing – 91.220(g)</w:t>
      </w:r>
    </w:p>
    <w:p w:rsidR="00170BD4" w:rsidRDefault="00170BD4">
      <w:pPr>
        <w:keepNext/>
        <w:widowControl w:val="0"/>
        <w:spacing w:line="204" w:lineRule="auto"/>
        <w:rPr>
          <w:b/>
          <w:bCs/>
          <w:sz w:val="28"/>
          <w:szCs w:val="28"/>
        </w:rPr>
      </w:pPr>
      <w:r>
        <w:rPr>
          <w:b/>
          <w:bCs/>
          <w:sz w:val="24"/>
          <w:szCs w:val="24"/>
        </w:rPr>
        <w:t>Introduction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3"/>
        <w:gridCol w:w="1620"/>
      </w:tblGrid>
      <w:tr w:rsidR="00170BD4">
        <w:trPr>
          <w:cantSplit/>
          <w:tblHeader/>
        </w:trPr>
        <w:tc>
          <w:tcPr>
            <w:tcW w:w="6473" w:type="dxa"/>
            <w:gridSpan w:val="2"/>
          </w:tcPr>
          <w:p w:rsidR="00170BD4" w:rsidRDefault="00170BD4">
            <w:pPr>
              <w:keepNext/>
              <w:widowControl w:val="0"/>
              <w:spacing w:after="0" w:line="240" w:lineRule="auto"/>
              <w:jc w:val="center"/>
              <w:rPr>
                <w:b/>
                <w:bCs/>
              </w:rPr>
            </w:pPr>
            <w:r>
              <w:rPr>
                <w:b/>
                <w:bCs/>
              </w:rPr>
              <w:t>One Year Goals for the Number of Households to be Supported</w:t>
            </w:r>
          </w:p>
        </w:tc>
      </w:tr>
      <w:tr w:rsidR="00170BD4">
        <w:trPr>
          <w:cantSplit/>
        </w:trPr>
        <w:tc>
          <w:tcPr>
            <w:tcW w:w="4853" w:type="dxa"/>
            <w:tcBorders>
              <w:bottom w:val="nil"/>
              <w:right w:val="nil"/>
            </w:tcBorders>
          </w:tcPr>
          <w:p w:rsidR="00170BD4" w:rsidRDefault="00170BD4">
            <w:pPr>
              <w:keepNext/>
              <w:widowControl w:val="0"/>
              <w:spacing w:after="0" w:line="240" w:lineRule="auto"/>
            </w:pPr>
            <w:r>
              <w:t>Homeless</w:t>
            </w:r>
          </w:p>
        </w:tc>
        <w:tc>
          <w:tcPr>
            <w:tcW w:w="1620" w:type="dxa"/>
            <w:tcBorders>
              <w:left w:val="nil"/>
              <w:bottom w:val="nil"/>
            </w:tcBorders>
          </w:tcPr>
          <w:p w:rsidR="00170BD4" w:rsidRDefault="00170BD4">
            <w:pPr>
              <w:keepNext/>
              <w:widowControl w:val="0"/>
              <w:spacing w:after="0" w:line="240" w:lineRule="auto"/>
            </w:pPr>
          </w:p>
        </w:tc>
      </w:tr>
      <w:tr w:rsidR="00170BD4">
        <w:trPr>
          <w:cantSplit/>
        </w:trPr>
        <w:tc>
          <w:tcPr>
            <w:tcW w:w="4853" w:type="dxa"/>
            <w:tcBorders>
              <w:bottom w:val="nil"/>
              <w:right w:val="nil"/>
            </w:tcBorders>
          </w:tcPr>
          <w:p w:rsidR="00170BD4" w:rsidRDefault="00170BD4">
            <w:pPr>
              <w:keepNext/>
              <w:widowControl w:val="0"/>
              <w:spacing w:after="0" w:line="240" w:lineRule="auto"/>
            </w:pPr>
            <w:r>
              <w:t>Non-Homeless</w:t>
            </w:r>
          </w:p>
        </w:tc>
        <w:tc>
          <w:tcPr>
            <w:tcW w:w="1620" w:type="dxa"/>
            <w:tcBorders>
              <w:left w:val="nil"/>
              <w:bottom w:val="nil"/>
            </w:tcBorders>
          </w:tcPr>
          <w:p w:rsidR="00170BD4" w:rsidRDefault="00170BD4">
            <w:pPr>
              <w:keepNext/>
              <w:widowControl w:val="0"/>
              <w:spacing w:after="0" w:line="240" w:lineRule="auto"/>
            </w:pPr>
          </w:p>
        </w:tc>
      </w:tr>
      <w:tr w:rsidR="00170BD4">
        <w:trPr>
          <w:cantSplit/>
        </w:trPr>
        <w:tc>
          <w:tcPr>
            <w:tcW w:w="4853" w:type="dxa"/>
            <w:tcBorders>
              <w:right w:val="nil"/>
            </w:tcBorders>
          </w:tcPr>
          <w:p w:rsidR="00170BD4" w:rsidRDefault="00170BD4">
            <w:pPr>
              <w:keepNext/>
              <w:widowControl w:val="0"/>
              <w:spacing w:after="0" w:line="240" w:lineRule="auto"/>
            </w:pPr>
            <w:r>
              <w:t>Special-Needs</w:t>
            </w:r>
          </w:p>
        </w:tc>
        <w:tc>
          <w:tcPr>
            <w:tcW w:w="1620" w:type="dxa"/>
            <w:tcBorders>
              <w:left w:val="nil"/>
            </w:tcBorders>
          </w:tcPr>
          <w:p w:rsidR="00170BD4" w:rsidRDefault="00170BD4">
            <w:pPr>
              <w:keepNext/>
              <w:widowControl w:val="0"/>
              <w:spacing w:after="0" w:line="240" w:lineRule="auto"/>
            </w:pPr>
          </w:p>
        </w:tc>
      </w:tr>
      <w:tr w:rsidR="00170BD4">
        <w:trPr>
          <w:cantSplit/>
        </w:trPr>
        <w:tc>
          <w:tcPr>
            <w:tcW w:w="4853" w:type="dxa"/>
            <w:tcBorders>
              <w:right w:val="nil"/>
            </w:tcBorders>
          </w:tcPr>
          <w:p w:rsidR="00170BD4" w:rsidRDefault="00170BD4">
            <w:pPr>
              <w:keepNext/>
              <w:widowControl w:val="0"/>
              <w:spacing w:after="0" w:line="240" w:lineRule="auto"/>
            </w:pPr>
            <w:r>
              <w:t>Total</w:t>
            </w:r>
          </w:p>
        </w:tc>
        <w:tc>
          <w:tcPr>
            <w:tcW w:w="1620" w:type="dxa"/>
            <w:tcBorders>
              <w:left w:val="nil"/>
            </w:tcBorders>
          </w:tcPr>
          <w:p w:rsidR="00170BD4" w:rsidRDefault="00170BD4">
            <w:pPr>
              <w:keepNext/>
              <w:widowControl w:val="0"/>
              <w:spacing w:after="0" w:line="240" w:lineRule="auto"/>
            </w:pPr>
          </w:p>
        </w:tc>
      </w:tr>
    </w:tbl>
    <w:p w:rsidR="00170BD4" w:rsidRDefault="00170BD4">
      <w:pPr>
        <w:pStyle w:val="Caption"/>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10</w:t>
      </w:r>
      <w:r>
        <w:rPr>
          <w:rFonts w:ascii="Calibri" w:hAnsi="Calibri" w:cs="Calibri"/>
        </w:rPr>
        <w:fldChar w:fldCharType="end"/>
      </w:r>
      <w:r>
        <w:rPr>
          <w:rFonts w:ascii="Calibri" w:hAnsi="Calibri" w:cs="Calibri"/>
        </w:rPr>
        <w:t xml:space="preserve"> - One Year Goals for Affordable Housing by Support Requirement</w:t>
      </w:r>
    </w:p>
    <w:p w:rsidR="00170BD4" w:rsidRDefault="00170BD4">
      <w:pPr>
        <w:rPr>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3"/>
        <w:gridCol w:w="1620"/>
      </w:tblGrid>
      <w:tr w:rsidR="00170BD4">
        <w:trPr>
          <w:cantSplit/>
          <w:tblHeader/>
        </w:trPr>
        <w:tc>
          <w:tcPr>
            <w:tcW w:w="6473" w:type="dxa"/>
            <w:gridSpan w:val="2"/>
          </w:tcPr>
          <w:p w:rsidR="00170BD4" w:rsidRDefault="00170BD4">
            <w:pPr>
              <w:keepNext/>
              <w:widowControl w:val="0"/>
              <w:spacing w:after="0" w:line="240" w:lineRule="auto"/>
              <w:jc w:val="center"/>
              <w:rPr>
                <w:b/>
                <w:bCs/>
              </w:rPr>
            </w:pPr>
            <w:r>
              <w:rPr>
                <w:b/>
                <w:bCs/>
              </w:rPr>
              <w:t>One Year Goals for the Number of Households Supported Through</w:t>
            </w:r>
          </w:p>
        </w:tc>
      </w:tr>
      <w:tr w:rsidR="00170BD4">
        <w:trPr>
          <w:cantSplit/>
        </w:trPr>
        <w:tc>
          <w:tcPr>
            <w:tcW w:w="4853" w:type="dxa"/>
            <w:tcBorders>
              <w:bottom w:val="nil"/>
              <w:right w:val="nil"/>
            </w:tcBorders>
          </w:tcPr>
          <w:p w:rsidR="00170BD4" w:rsidRDefault="00170BD4">
            <w:pPr>
              <w:keepNext/>
              <w:widowControl w:val="0"/>
              <w:spacing w:after="0" w:line="240" w:lineRule="auto"/>
            </w:pPr>
            <w:r>
              <w:t>Rental Assistance</w:t>
            </w:r>
          </w:p>
        </w:tc>
        <w:tc>
          <w:tcPr>
            <w:tcW w:w="1620" w:type="dxa"/>
            <w:tcBorders>
              <w:left w:val="nil"/>
              <w:bottom w:val="nil"/>
            </w:tcBorders>
          </w:tcPr>
          <w:p w:rsidR="00170BD4" w:rsidRDefault="00170BD4">
            <w:pPr>
              <w:keepNext/>
              <w:widowControl w:val="0"/>
              <w:spacing w:after="0" w:line="240" w:lineRule="auto"/>
            </w:pPr>
          </w:p>
        </w:tc>
      </w:tr>
      <w:tr w:rsidR="00170BD4">
        <w:trPr>
          <w:cantSplit/>
        </w:trPr>
        <w:tc>
          <w:tcPr>
            <w:tcW w:w="4853" w:type="dxa"/>
            <w:tcBorders>
              <w:bottom w:val="nil"/>
              <w:right w:val="nil"/>
            </w:tcBorders>
          </w:tcPr>
          <w:p w:rsidR="00170BD4" w:rsidRDefault="00170BD4">
            <w:pPr>
              <w:keepNext/>
              <w:widowControl w:val="0"/>
              <w:spacing w:after="0" w:line="240" w:lineRule="auto"/>
            </w:pPr>
            <w:r>
              <w:t>The Production of New Units</w:t>
            </w:r>
          </w:p>
        </w:tc>
        <w:tc>
          <w:tcPr>
            <w:tcW w:w="1620" w:type="dxa"/>
            <w:tcBorders>
              <w:left w:val="nil"/>
              <w:bottom w:val="nil"/>
            </w:tcBorders>
          </w:tcPr>
          <w:p w:rsidR="00170BD4" w:rsidRDefault="00170BD4">
            <w:pPr>
              <w:keepNext/>
              <w:widowControl w:val="0"/>
              <w:spacing w:after="0" w:line="240" w:lineRule="auto"/>
            </w:pPr>
          </w:p>
        </w:tc>
      </w:tr>
      <w:tr w:rsidR="00170BD4">
        <w:trPr>
          <w:cantSplit/>
        </w:trPr>
        <w:tc>
          <w:tcPr>
            <w:tcW w:w="4853" w:type="dxa"/>
            <w:tcBorders>
              <w:right w:val="nil"/>
            </w:tcBorders>
          </w:tcPr>
          <w:p w:rsidR="00170BD4" w:rsidRDefault="00170BD4">
            <w:pPr>
              <w:keepNext/>
              <w:widowControl w:val="0"/>
              <w:spacing w:after="0" w:line="240" w:lineRule="auto"/>
            </w:pPr>
            <w:r>
              <w:t>Rehab of Existing Units</w:t>
            </w:r>
          </w:p>
        </w:tc>
        <w:tc>
          <w:tcPr>
            <w:tcW w:w="1620" w:type="dxa"/>
            <w:tcBorders>
              <w:left w:val="nil"/>
            </w:tcBorders>
          </w:tcPr>
          <w:p w:rsidR="00170BD4" w:rsidRDefault="00170BD4">
            <w:pPr>
              <w:keepNext/>
              <w:widowControl w:val="0"/>
              <w:spacing w:after="0" w:line="240" w:lineRule="auto"/>
            </w:pPr>
          </w:p>
        </w:tc>
      </w:tr>
      <w:tr w:rsidR="00170BD4">
        <w:trPr>
          <w:cantSplit/>
        </w:trPr>
        <w:tc>
          <w:tcPr>
            <w:tcW w:w="4853" w:type="dxa"/>
            <w:tcBorders>
              <w:right w:val="nil"/>
            </w:tcBorders>
          </w:tcPr>
          <w:p w:rsidR="00170BD4" w:rsidRDefault="00170BD4">
            <w:pPr>
              <w:keepNext/>
              <w:widowControl w:val="0"/>
              <w:spacing w:after="0" w:line="240" w:lineRule="auto"/>
            </w:pPr>
            <w:r>
              <w:t>Acquisition of Existing Units</w:t>
            </w:r>
          </w:p>
        </w:tc>
        <w:tc>
          <w:tcPr>
            <w:tcW w:w="1620" w:type="dxa"/>
            <w:tcBorders>
              <w:left w:val="nil"/>
            </w:tcBorders>
          </w:tcPr>
          <w:p w:rsidR="00170BD4" w:rsidRDefault="00170BD4">
            <w:pPr>
              <w:keepNext/>
              <w:widowControl w:val="0"/>
              <w:spacing w:after="0" w:line="240" w:lineRule="auto"/>
            </w:pPr>
          </w:p>
        </w:tc>
      </w:tr>
      <w:tr w:rsidR="00170BD4">
        <w:trPr>
          <w:cantSplit/>
        </w:trPr>
        <w:tc>
          <w:tcPr>
            <w:tcW w:w="4853" w:type="dxa"/>
            <w:tcBorders>
              <w:right w:val="nil"/>
            </w:tcBorders>
          </w:tcPr>
          <w:p w:rsidR="00170BD4" w:rsidRDefault="00170BD4">
            <w:pPr>
              <w:keepNext/>
              <w:widowControl w:val="0"/>
              <w:spacing w:after="0" w:line="240" w:lineRule="auto"/>
            </w:pPr>
            <w:r>
              <w:t>Total</w:t>
            </w:r>
          </w:p>
        </w:tc>
        <w:tc>
          <w:tcPr>
            <w:tcW w:w="1620" w:type="dxa"/>
            <w:tcBorders>
              <w:left w:val="nil"/>
            </w:tcBorders>
          </w:tcPr>
          <w:p w:rsidR="00170BD4" w:rsidRDefault="00170BD4">
            <w:pPr>
              <w:keepNext/>
              <w:widowControl w:val="0"/>
              <w:spacing w:after="0" w:line="240" w:lineRule="auto"/>
            </w:pPr>
          </w:p>
        </w:tc>
      </w:tr>
    </w:tbl>
    <w:p w:rsidR="00170BD4" w:rsidRDefault="00170BD4">
      <w:pPr>
        <w:pStyle w:val="Caption"/>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noProof/>
        </w:rPr>
        <w:t>11</w:t>
      </w:r>
      <w:r>
        <w:rPr>
          <w:rFonts w:ascii="Calibri" w:hAnsi="Calibri" w:cs="Calibri"/>
        </w:rPr>
        <w:fldChar w:fldCharType="end"/>
      </w:r>
      <w:r>
        <w:rPr>
          <w:rFonts w:ascii="Calibri" w:hAnsi="Calibri" w:cs="Calibri"/>
        </w:rPr>
        <w:t xml:space="preserve"> - One Year Goals for Affordable Housing by Support Type</w:t>
      </w:r>
    </w:p>
    <w:p w:rsidR="00170BD4" w:rsidRDefault="00170BD4">
      <w:pPr>
        <w:keepNext/>
        <w:widowControl w:val="0"/>
        <w:spacing w:line="204" w:lineRule="auto"/>
        <w:rPr>
          <w:b/>
          <w:bCs/>
          <w:sz w:val="24"/>
          <w:szCs w:val="24"/>
        </w:rPr>
      </w:pPr>
    </w:p>
    <w:p w:rsidR="00170BD4" w:rsidRDefault="00170BD4">
      <w:pPr>
        <w:keepNext/>
        <w:widowControl w:val="0"/>
        <w:spacing w:line="204" w:lineRule="auto"/>
        <w:rPr>
          <w:b/>
          <w:bCs/>
          <w:sz w:val="24"/>
          <w:szCs w:val="24"/>
        </w:rPr>
      </w:pPr>
      <w:r>
        <w:rPr>
          <w:b/>
          <w:bCs/>
          <w:sz w:val="24"/>
          <w:szCs w:val="24"/>
        </w:rPr>
        <w:t>Discussion</w:t>
      </w:r>
    </w:p>
    <w:p w:rsidR="00170BD4" w:rsidRDefault="00170BD4"/>
    <w:p w:rsidR="00170BD4" w:rsidRDefault="00170BD4"/>
    <w:p w:rsidR="00170BD4" w:rsidRDefault="00170BD4">
      <w:pPr>
        <w:pStyle w:val="Heading2"/>
        <w:pageBreakBefore/>
        <w:widowControl w:val="0"/>
        <w:rPr>
          <w:rFonts w:ascii="Calibri" w:hAnsi="Calibri" w:cs="Calibri"/>
          <w:i w:val="0"/>
          <w:iCs w:val="0"/>
        </w:rPr>
      </w:pPr>
      <w:r>
        <w:rPr>
          <w:rFonts w:ascii="Calibri" w:hAnsi="Calibri" w:cs="Calibri"/>
          <w:i w:val="0"/>
          <w:iCs w:val="0"/>
        </w:rPr>
        <w:t xml:space="preserve">AP-60 Public Housing </w:t>
      </w:r>
      <w:r>
        <w:t>–</w:t>
      </w:r>
      <w:r>
        <w:rPr>
          <w:i w:val="0"/>
          <w:iCs w:val="0"/>
        </w:rPr>
        <w:t xml:space="preserve"> 91.220(h)</w:t>
      </w:r>
    </w:p>
    <w:p w:rsidR="00170BD4" w:rsidRDefault="00170BD4">
      <w:pPr>
        <w:keepNext/>
        <w:widowControl w:val="0"/>
        <w:spacing w:line="204" w:lineRule="auto"/>
        <w:rPr>
          <w:b/>
          <w:bCs/>
          <w:sz w:val="24"/>
          <w:szCs w:val="24"/>
        </w:rPr>
      </w:pPr>
      <w:r>
        <w:rPr>
          <w:b/>
          <w:bCs/>
          <w:sz w:val="24"/>
          <w:szCs w:val="24"/>
        </w:rPr>
        <w:t>Introduction</w:t>
      </w:r>
    </w:p>
    <w:p w:rsidR="00170BD4" w:rsidRDefault="00170BD4">
      <w:pPr>
        <w:keepNext/>
        <w:widowControl w:val="0"/>
        <w:rPr>
          <w:b/>
          <w:bCs/>
          <w:sz w:val="24"/>
          <w:szCs w:val="24"/>
        </w:rPr>
      </w:pPr>
      <w:r>
        <w:rPr>
          <w:b/>
          <w:bCs/>
          <w:sz w:val="24"/>
          <w:szCs w:val="24"/>
        </w:rPr>
        <w:t>Actions planned during the next year to address the needs to public housing</w:t>
      </w:r>
    </w:p>
    <w:p w:rsidR="00170BD4" w:rsidRDefault="00170BD4">
      <w:pPr>
        <w:keepNext/>
        <w:widowControl w:val="0"/>
        <w:rPr>
          <w:b/>
          <w:bCs/>
          <w:sz w:val="24"/>
          <w:szCs w:val="24"/>
        </w:rPr>
      </w:pPr>
      <w:r>
        <w:rPr>
          <w:b/>
          <w:bCs/>
          <w:sz w:val="24"/>
          <w:szCs w:val="24"/>
        </w:rPr>
        <w:t>Actions to encourage public housing residents to become more involved in management and participate in homeownership</w:t>
      </w:r>
    </w:p>
    <w:p w:rsidR="00170BD4" w:rsidRDefault="00170BD4">
      <w:pPr>
        <w:keepNext/>
        <w:widowControl w:val="0"/>
        <w:rPr>
          <w:b/>
          <w:bCs/>
          <w:sz w:val="24"/>
          <w:szCs w:val="24"/>
        </w:rPr>
      </w:pPr>
      <w:r>
        <w:rPr>
          <w:b/>
          <w:bCs/>
          <w:sz w:val="24"/>
          <w:szCs w:val="24"/>
        </w:rPr>
        <w:t xml:space="preserve">If the PHA is designated as troubled, describe the manner in which financial assistance will be provided or other assistance </w:t>
      </w:r>
    </w:p>
    <w:p w:rsidR="00170BD4" w:rsidRDefault="00170BD4">
      <w:pPr>
        <w:keepNext/>
        <w:widowControl w:val="0"/>
        <w:spacing w:line="204" w:lineRule="auto"/>
        <w:rPr>
          <w:b/>
          <w:bCs/>
          <w:sz w:val="24"/>
          <w:szCs w:val="24"/>
        </w:rPr>
      </w:pPr>
      <w:r>
        <w:rPr>
          <w:b/>
          <w:bCs/>
          <w:sz w:val="24"/>
          <w:szCs w:val="24"/>
        </w:rPr>
        <w:t>Discussion</w:t>
      </w:r>
    </w:p>
    <w:p w:rsidR="00170BD4" w:rsidRDefault="00170BD4"/>
    <w:p w:rsidR="00170BD4" w:rsidRDefault="00170BD4"/>
    <w:p w:rsidR="00170BD4" w:rsidRDefault="00170BD4">
      <w:pPr>
        <w:pStyle w:val="Heading2"/>
        <w:pageBreakBefore/>
        <w:widowControl w:val="0"/>
        <w:rPr>
          <w:rFonts w:ascii="Calibri" w:hAnsi="Calibri" w:cs="Calibri"/>
          <w:i w:val="0"/>
          <w:iCs w:val="0"/>
        </w:rPr>
      </w:pPr>
      <w:r>
        <w:rPr>
          <w:rFonts w:ascii="Calibri" w:hAnsi="Calibri" w:cs="Calibri"/>
          <w:i w:val="0"/>
          <w:iCs w:val="0"/>
        </w:rPr>
        <w:t>AP-65 Homeless and Other Special Needs Activities – 91.220(i)</w:t>
      </w:r>
    </w:p>
    <w:p w:rsidR="00170BD4" w:rsidRDefault="00170BD4">
      <w:pPr>
        <w:keepNext/>
        <w:widowControl w:val="0"/>
        <w:spacing w:line="204" w:lineRule="auto"/>
        <w:rPr>
          <w:b/>
          <w:bCs/>
          <w:sz w:val="24"/>
          <w:szCs w:val="24"/>
        </w:rPr>
      </w:pPr>
      <w:r>
        <w:rPr>
          <w:b/>
          <w:bCs/>
          <w:sz w:val="24"/>
          <w:szCs w:val="24"/>
        </w:rPr>
        <w:t>Introduction</w:t>
      </w:r>
    </w:p>
    <w:p w:rsidR="00170BD4" w:rsidRDefault="00170BD4">
      <w:pPr>
        <w:keepNext/>
        <w:widowControl w:val="0"/>
        <w:rPr>
          <w:b/>
          <w:bCs/>
          <w:sz w:val="24"/>
          <w:szCs w:val="24"/>
        </w:rPr>
      </w:pPr>
      <w:r>
        <w:rPr>
          <w:b/>
          <w:bCs/>
          <w:sz w:val="24"/>
          <w:szCs w:val="24"/>
        </w:rPr>
        <w:t>Describe the jurisdictions one-year goals and actions for reducing and ending homelessness including</w:t>
      </w:r>
    </w:p>
    <w:p w:rsidR="00170BD4" w:rsidRDefault="00170BD4">
      <w:pPr>
        <w:keepNext/>
        <w:widowControl w:val="0"/>
        <w:rPr>
          <w:b/>
          <w:bCs/>
          <w:sz w:val="24"/>
          <w:szCs w:val="24"/>
        </w:rPr>
      </w:pPr>
      <w:r>
        <w:rPr>
          <w:b/>
          <w:bCs/>
          <w:sz w:val="24"/>
          <w:szCs w:val="24"/>
        </w:rPr>
        <w:t>Reaching out to homeless persons (especially unsheltered persons) and assessing their individual needs</w:t>
      </w:r>
    </w:p>
    <w:p w:rsidR="00170BD4" w:rsidRDefault="00170BD4">
      <w:pPr>
        <w:keepNext/>
        <w:widowControl w:val="0"/>
        <w:rPr>
          <w:b/>
          <w:bCs/>
          <w:sz w:val="24"/>
          <w:szCs w:val="24"/>
        </w:rPr>
      </w:pPr>
      <w:r>
        <w:rPr>
          <w:b/>
          <w:bCs/>
          <w:sz w:val="24"/>
          <w:szCs w:val="24"/>
        </w:rPr>
        <w:t>Addressing the emergency shelter and transitional housing needs of homeless persons</w:t>
      </w:r>
    </w:p>
    <w:p w:rsidR="00170BD4" w:rsidRDefault="00170BD4">
      <w:pPr>
        <w:keepNext/>
        <w:widowControl w:val="0"/>
        <w:rPr>
          <w:b/>
          <w:bCs/>
          <w:sz w:val="24"/>
          <w:szCs w:val="24"/>
        </w:rPr>
      </w:pPr>
      <w:r>
        <w:rPr>
          <w:b/>
          <w:bCs/>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170BD4" w:rsidRDefault="00170BD4">
      <w:pPr>
        <w:keepNext/>
        <w:widowControl w:val="0"/>
        <w:rPr>
          <w:b/>
          <w:bCs/>
          <w:sz w:val="24"/>
          <w:szCs w:val="24"/>
        </w:rPr>
      </w:pPr>
      <w:r>
        <w:rPr>
          <w:b/>
          <w:bCs/>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170BD4" w:rsidRDefault="00170BD4">
      <w:pPr>
        <w:keepNext/>
        <w:widowControl w:val="0"/>
        <w:spacing w:line="204" w:lineRule="auto"/>
        <w:rPr>
          <w:b/>
          <w:bCs/>
          <w:sz w:val="24"/>
          <w:szCs w:val="24"/>
        </w:rPr>
      </w:pPr>
      <w:r>
        <w:rPr>
          <w:b/>
          <w:bCs/>
          <w:sz w:val="24"/>
          <w:szCs w:val="24"/>
        </w:rPr>
        <w:t>Discussion</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9"/>
        <w:gridCol w:w="1567"/>
      </w:tblGrid>
      <w:tr w:rsidR="00170BD4">
        <w:trPr>
          <w:cantSplit/>
          <w:tblHeader/>
        </w:trPr>
        <w:tc>
          <w:tcPr>
            <w:tcW w:w="9576" w:type="dxa"/>
            <w:gridSpan w:val="2"/>
          </w:tcPr>
          <w:p w:rsidR="00170BD4" w:rsidRDefault="00170BD4">
            <w:pPr>
              <w:keepNext/>
              <w:widowControl w:val="0"/>
              <w:spacing w:after="0" w:line="240" w:lineRule="auto"/>
            </w:pPr>
            <w:r>
              <w:rPr>
                <w:b/>
                <w:bCs/>
              </w:rPr>
              <w:t>One year goals for the number of households to be provided housing through the use of HOPWA for:</w:t>
            </w:r>
          </w:p>
        </w:tc>
      </w:tr>
      <w:tr w:rsidR="00170BD4">
        <w:trPr>
          <w:cantSplit/>
          <w:tblHeader/>
        </w:trPr>
        <w:tc>
          <w:tcPr>
            <w:tcW w:w="8009" w:type="dxa"/>
            <w:tcBorders>
              <w:right w:val="nil"/>
            </w:tcBorders>
          </w:tcPr>
          <w:p w:rsidR="00170BD4" w:rsidRDefault="00170BD4">
            <w:pPr>
              <w:keepNext/>
              <w:widowControl w:val="0"/>
              <w:spacing w:after="0" w:line="240" w:lineRule="auto"/>
            </w:pPr>
            <w:r>
              <w:t>Short-term rent, mortgage, and utility assistance to prevent homelessness of the individual or family</w:t>
            </w:r>
          </w:p>
        </w:tc>
        <w:tc>
          <w:tcPr>
            <w:tcW w:w="1567" w:type="dxa"/>
            <w:tcBorders>
              <w:left w:val="nil"/>
            </w:tcBorders>
          </w:tcPr>
          <w:p w:rsidR="00170BD4" w:rsidRDefault="00170BD4">
            <w:pPr>
              <w:keepNext/>
              <w:widowControl w:val="0"/>
              <w:spacing w:after="0" w:line="240" w:lineRule="auto"/>
              <w:jc w:val="center"/>
            </w:pPr>
          </w:p>
        </w:tc>
      </w:tr>
      <w:tr w:rsidR="00170BD4">
        <w:trPr>
          <w:cantSplit/>
          <w:tblHeader/>
        </w:trPr>
        <w:tc>
          <w:tcPr>
            <w:tcW w:w="8009" w:type="dxa"/>
            <w:tcBorders>
              <w:right w:val="nil"/>
            </w:tcBorders>
          </w:tcPr>
          <w:p w:rsidR="00170BD4" w:rsidRDefault="00170BD4">
            <w:pPr>
              <w:keepNext/>
              <w:widowControl w:val="0"/>
              <w:spacing w:after="0" w:line="240" w:lineRule="auto"/>
            </w:pPr>
            <w:r>
              <w:t>Tenant-based rental assistance</w:t>
            </w:r>
          </w:p>
        </w:tc>
        <w:tc>
          <w:tcPr>
            <w:tcW w:w="1567" w:type="dxa"/>
            <w:tcBorders>
              <w:left w:val="nil"/>
            </w:tcBorders>
          </w:tcPr>
          <w:p w:rsidR="00170BD4" w:rsidRDefault="00170BD4">
            <w:pPr>
              <w:keepNext/>
              <w:widowControl w:val="0"/>
              <w:spacing w:after="0" w:line="240" w:lineRule="auto"/>
              <w:jc w:val="center"/>
            </w:pPr>
          </w:p>
        </w:tc>
      </w:tr>
      <w:tr w:rsidR="00170BD4">
        <w:trPr>
          <w:cantSplit/>
          <w:tblHeader/>
        </w:trPr>
        <w:tc>
          <w:tcPr>
            <w:tcW w:w="8009" w:type="dxa"/>
            <w:tcBorders>
              <w:right w:val="nil"/>
            </w:tcBorders>
          </w:tcPr>
          <w:p w:rsidR="00170BD4" w:rsidRDefault="00170BD4">
            <w:pPr>
              <w:keepNext/>
              <w:widowControl w:val="0"/>
              <w:spacing w:after="0" w:line="240" w:lineRule="auto"/>
            </w:pPr>
            <w:r>
              <w:t>Units provided in housing facilities (transitional or permanent) that are being developed, leased, or operated</w:t>
            </w:r>
          </w:p>
        </w:tc>
        <w:tc>
          <w:tcPr>
            <w:tcW w:w="1567" w:type="dxa"/>
            <w:tcBorders>
              <w:left w:val="nil"/>
            </w:tcBorders>
          </w:tcPr>
          <w:p w:rsidR="00170BD4" w:rsidRDefault="00170BD4">
            <w:pPr>
              <w:keepNext/>
              <w:widowControl w:val="0"/>
              <w:spacing w:after="0" w:line="240" w:lineRule="auto"/>
              <w:jc w:val="center"/>
            </w:pPr>
          </w:p>
        </w:tc>
      </w:tr>
      <w:tr w:rsidR="00170BD4">
        <w:trPr>
          <w:cantSplit/>
          <w:tblHeader/>
        </w:trPr>
        <w:tc>
          <w:tcPr>
            <w:tcW w:w="8009" w:type="dxa"/>
            <w:tcBorders>
              <w:right w:val="nil"/>
            </w:tcBorders>
          </w:tcPr>
          <w:p w:rsidR="00170BD4" w:rsidRDefault="00170BD4">
            <w:pPr>
              <w:keepNext/>
              <w:widowControl w:val="0"/>
              <w:spacing w:after="0" w:line="240" w:lineRule="auto"/>
            </w:pPr>
            <w:r>
              <w:t>Units provided in transitional short-term housing facilities developed, leased, or operated with HOPWA funds</w:t>
            </w:r>
          </w:p>
        </w:tc>
        <w:tc>
          <w:tcPr>
            <w:tcW w:w="1567" w:type="dxa"/>
            <w:tcBorders>
              <w:left w:val="nil"/>
            </w:tcBorders>
          </w:tcPr>
          <w:p w:rsidR="00170BD4" w:rsidRDefault="00170BD4">
            <w:pPr>
              <w:keepNext/>
              <w:widowControl w:val="0"/>
              <w:spacing w:after="0" w:line="240" w:lineRule="auto"/>
              <w:jc w:val="center"/>
            </w:pPr>
          </w:p>
        </w:tc>
      </w:tr>
      <w:tr w:rsidR="00170BD4">
        <w:trPr>
          <w:cantSplit/>
          <w:tblHeader/>
        </w:trPr>
        <w:tc>
          <w:tcPr>
            <w:tcW w:w="8009" w:type="dxa"/>
            <w:tcBorders>
              <w:right w:val="nil"/>
            </w:tcBorders>
          </w:tcPr>
          <w:p w:rsidR="00170BD4" w:rsidRDefault="00170BD4">
            <w:pPr>
              <w:keepNext/>
              <w:widowControl w:val="0"/>
              <w:spacing w:after="0" w:line="240" w:lineRule="auto"/>
            </w:pPr>
            <w:r>
              <w:t>Total</w:t>
            </w:r>
          </w:p>
        </w:tc>
        <w:tc>
          <w:tcPr>
            <w:tcW w:w="1567" w:type="dxa"/>
            <w:tcBorders>
              <w:left w:val="nil"/>
            </w:tcBorders>
          </w:tcPr>
          <w:p w:rsidR="00170BD4" w:rsidRDefault="00170BD4">
            <w:pPr>
              <w:keepNext/>
              <w:widowControl w:val="0"/>
              <w:spacing w:after="0" w:line="240" w:lineRule="auto"/>
              <w:jc w:val="center"/>
            </w:pPr>
          </w:p>
        </w:tc>
      </w:tr>
    </w:tbl>
    <w:p w:rsidR="00170BD4" w:rsidRDefault="00170BD4">
      <w:pPr>
        <w:keepNext/>
        <w:widowControl w:val="0"/>
        <w:spacing w:after="0" w:line="240" w:lineRule="auto"/>
        <w:jc w:val="center"/>
      </w:pPr>
    </w:p>
    <w:p w:rsidR="00170BD4" w:rsidRDefault="00170BD4">
      <w:pPr>
        <w:pStyle w:val="Heading2"/>
        <w:pageBreakBefore/>
        <w:widowControl w:val="0"/>
        <w:rPr>
          <w:rFonts w:ascii="Calibri" w:hAnsi="Calibri" w:cs="Calibri"/>
          <w:i w:val="0"/>
          <w:iCs w:val="0"/>
        </w:rPr>
      </w:pPr>
      <w:r>
        <w:rPr>
          <w:rFonts w:ascii="Calibri" w:hAnsi="Calibri" w:cs="Calibri"/>
          <w:i w:val="0"/>
          <w:iCs w:val="0"/>
        </w:rPr>
        <w:t>AP-75 Barriers to affordable housing</w:t>
      </w:r>
      <w:r>
        <w:t xml:space="preserve"> </w:t>
      </w:r>
      <w:r>
        <w:rPr>
          <w:rFonts w:ascii="Calibri" w:hAnsi="Calibri" w:cs="Calibri"/>
          <w:i w:val="0"/>
          <w:iCs w:val="0"/>
        </w:rPr>
        <w:t>– 91.220(j)</w:t>
      </w:r>
    </w:p>
    <w:p w:rsidR="00170BD4" w:rsidRDefault="00170BD4">
      <w:pPr>
        <w:keepNext/>
        <w:widowControl w:val="0"/>
        <w:spacing w:line="204" w:lineRule="auto"/>
        <w:rPr>
          <w:b/>
          <w:bCs/>
          <w:sz w:val="24"/>
          <w:szCs w:val="24"/>
        </w:rPr>
      </w:pPr>
      <w:r>
        <w:rPr>
          <w:b/>
          <w:bCs/>
          <w:sz w:val="24"/>
          <w:szCs w:val="24"/>
        </w:rPr>
        <w:t>Introduction</w:t>
      </w:r>
    </w:p>
    <w:p w:rsidR="00170BD4" w:rsidRDefault="00170BD4">
      <w:pPr>
        <w:keepNext/>
        <w:widowControl w:val="0"/>
        <w:rPr>
          <w:b/>
          <w:bCs/>
          <w:sz w:val="24"/>
          <w:szCs w:val="24"/>
        </w:rPr>
      </w:pPr>
      <w:r>
        <w:rPr>
          <w:b/>
          <w:bCs/>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170BD4" w:rsidRDefault="00170BD4">
      <w:pPr>
        <w:keepNext/>
        <w:widowControl w:val="0"/>
        <w:spacing w:line="204" w:lineRule="auto"/>
        <w:rPr>
          <w:b/>
          <w:bCs/>
          <w:sz w:val="24"/>
          <w:szCs w:val="24"/>
        </w:rPr>
      </w:pPr>
      <w:r>
        <w:rPr>
          <w:b/>
          <w:bCs/>
          <w:sz w:val="24"/>
          <w:szCs w:val="24"/>
        </w:rPr>
        <w:t>Discussion</w:t>
      </w:r>
    </w:p>
    <w:p w:rsidR="00170BD4" w:rsidRDefault="00170BD4">
      <w:pPr>
        <w:pStyle w:val="Heading2"/>
        <w:pageBreakBefore/>
        <w:widowControl w:val="0"/>
        <w:rPr>
          <w:rFonts w:ascii="Calibri" w:hAnsi="Calibri" w:cs="Calibri"/>
          <w:i w:val="0"/>
          <w:iCs w:val="0"/>
        </w:rPr>
      </w:pPr>
      <w:r>
        <w:rPr>
          <w:rFonts w:ascii="Calibri" w:hAnsi="Calibri" w:cs="Calibri"/>
          <w:i w:val="0"/>
          <w:iCs w:val="0"/>
        </w:rPr>
        <w:t>AP-85 Other Actions – 91.220(k)</w:t>
      </w:r>
    </w:p>
    <w:p w:rsidR="00170BD4" w:rsidRDefault="00170BD4">
      <w:pPr>
        <w:keepNext/>
        <w:widowControl w:val="0"/>
        <w:spacing w:line="204" w:lineRule="auto"/>
        <w:rPr>
          <w:b/>
          <w:bCs/>
          <w:sz w:val="24"/>
          <w:szCs w:val="24"/>
        </w:rPr>
      </w:pPr>
      <w:r>
        <w:rPr>
          <w:b/>
          <w:bCs/>
          <w:sz w:val="24"/>
          <w:szCs w:val="24"/>
        </w:rPr>
        <w:t>Introduction</w:t>
      </w:r>
    </w:p>
    <w:p w:rsidR="00170BD4" w:rsidRDefault="00170BD4">
      <w:pPr>
        <w:keepNext/>
        <w:widowControl w:val="0"/>
        <w:rPr>
          <w:b/>
          <w:bCs/>
          <w:sz w:val="24"/>
          <w:szCs w:val="24"/>
        </w:rPr>
      </w:pPr>
      <w:r>
        <w:rPr>
          <w:b/>
          <w:bCs/>
          <w:sz w:val="24"/>
          <w:szCs w:val="24"/>
        </w:rPr>
        <w:t>Actions planned to address obstacles to meeting underserved needs</w:t>
      </w:r>
    </w:p>
    <w:p w:rsidR="00170BD4" w:rsidRDefault="00170BD4">
      <w:pPr>
        <w:keepNext/>
        <w:widowControl w:val="0"/>
        <w:rPr>
          <w:b/>
          <w:bCs/>
          <w:sz w:val="24"/>
          <w:szCs w:val="24"/>
        </w:rPr>
      </w:pPr>
      <w:r>
        <w:rPr>
          <w:b/>
          <w:bCs/>
          <w:sz w:val="24"/>
          <w:szCs w:val="24"/>
        </w:rPr>
        <w:t>Actions planned to foster and maintain affordable housing</w:t>
      </w:r>
    </w:p>
    <w:p w:rsidR="00170BD4" w:rsidRDefault="00170BD4">
      <w:pPr>
        <w:keepNext/>
        <w:widowControl w:val="0"/>
        <w:rPr>
          <w:b/>
          <w:bCs/>
          <w:sz w:val="24"/>
          <w:szCs w:val="24"/>
        </w:rPr>
      </w:pPr>
      <w:r>
        <w:rPr>
          <w:b/>
          <w:bCs/>
          <w:sz w:val="24"/>
          <w:szCs w:val="24"/>
        </w:rPr>
        <w:t>Actions planned to reduce lead-based paint hazards</w:t>
      </w:r>
    </w:p>
    <w:p w:rsidR="00170BD4" w:rsidRDefault="00170BD4">
      <w:pPr>
        <w:keepNext/>
        <w:widowControl w:val="0"/>
        <w:rPr>
          <w:b/>
          <w:bCs/>
          <w:sz w:val="24"/>
          <w:szCs w:val="24"/>
        </w:rPr>
      </w:pPr>
      <w:r>
        <w:rPr>
          <w:b/>
          <w:bCs/>
          <w:sz w:val="24"/>
          <w:szCs w:val="24"/>
        </w:rPr>
        <w:t>Actions planned to reduce the number of poverty-level families</w:t>
      </w:r>
    </w:p>
    <w:p w:rsidR="00170BD4" w:rsidRDefault="00170BD4">
      <w:pPr>
        <w:keepNext/>
        <w:widowControl w:val="0"/>
        <w:rPr>
          <w:b/>
          <w:bCs/>
          <w:sz w:val="24"/>
          <w:szCs w:val="24"/>
        </w:rPr>
      </w:pPr>
      <w:r>
        <w:rPr>
          <w:b/>
          <w:bCs/>
          <w:sz w:val="24"/>
          <w:szCs w:val="24"/>
        </w:rPr>
        <w:t xml:space="preserve">Actions planned to develop institutional structure </w:t>
      </w:r>
    </w:p>
    <w:p w:rsidR="00170BD4" w:rsidRDefault="00170BD4">
      <w:pPr>
        <w:keepNext/>
        <w:widowControl w:val="0"/>
        <w:rPr>
          <w:b/>
          <w:bCs/>
          <w:sz w:val="24"/>
          <w:szCs w:val="24"/>
        </w:rPr>
      </w:pPr>
      <w:r>
        <w:rPr>
          <w:b/>
          <w:bCs/>
          <w:sz w:val="24"/>
          <w:szCs w:val="24"/>
        </w:rPr>
        <w:t>Actions planned to enhance coordination between public and private housing and social service agencies</w:t>
      </w:r>
    </w:p>
    <w:p w:rsidR="00170BD4" w:rsidRDefault="00170BD4">
      <w:pPr>
        <w:keepNext/>
        <w:widowControl w:val="0"/>
        <w:spacing w:line="204" w:lineRule="auto"/>
        <w:rPr>
          <w:b/>
          <w:bCs/>
          <w:sz w:val="24"/>
          <w:szCs w:val="24"/>
        </w:rPr>
      </w:pPr>
      <w:r>
        <w:rPr>
          <w:b/>
          <w:bCs/>
          <w:sz w:val="24"/>
          <w:szCs w:val="24"/>
        </w:rPr>
        <w:t>Discussion</w:t>
      </w:r>
    </w:p>
    <w:p w:rsidR="00170BD4" w:rsidRDefault="00170BD4">
      <w:pPr>
        <w:pStyle w:val="Heading1"/>
        <w:pageBreakBefore/>
        <w:jc w:val="center"/>
        <w:rPr>
          <w:rFonts w:ascii="Calibri" w:hAnsi="Calibri" w:cs="Calibri"/>
          <w:color w:val="auto"/>
          <w:sz w:val="32"/>
          <w:szCs w:val="32"/>
        </w:rPr>
      </w:pPr>
      <w:r>
        <w:rPr>
          <w:rFonts w:ascii="Calibri" w:hAnsi="Calibri" w:cs="Calibri"/>
          <w:color w:val="auto"/>
          <w:sz w:val="32"/>
          <w:szCs w:val="32"/>
        </w:rPr>
        <w:t>Program Specific Requirements</w:t>
      </w:r>
    </w:p>
    <w:p w:rsidR="00170BD4" w:rsidRDefault="00170BD4">
      <w:pPr>
        <w:rPr>
          <w:b/>
          <w:bCs/>
          <w:sz w:val="28"/>
          <w:szCs w:val="28"/>
        </w:rPr>
      </w:pPr>
      <w:r>
        <w:rPr>
          <w:b/>
          <w:bCs/>
          <w:sz w:val="28"/>
          <w:szCs w:val="28"/>
        </w:rPr>
        <w:t>AP-90 Program Specific Requirements – 91.220(l)(1,2,4)</w:t>
      </w:r>
    </w:p>
    <w:p w:rsidR="00170BD4" w:rsidRDefault="00170BD4">
      <w:pPr>
        <w:keepNext/>
        <w:widowControl w:val="0"/>
        <w:spacing w:line="204" w:lineRule="auto"/>
        <w:rPr>
          <w:b/>
          <w:bCs/>
          <w:sz w:val="24"/>
          <w:szCs w:val="24"/>
        </w:rPr>
      </w:pPr>
      <w:r>
        <w:rPr>
          <w:b/>
          <w:bCs/>
          <w:sz w:val="24"/>
          <w:szCs w:val="24"/>
        </w:rPr>
        <w:t>Introduction</w:t>
      </w:r>
    </w:p>
    <w:p w:rsidR="00170BD4" w:rsidRDefault="00170BD4">
      <w:pPr>
        <w:keepNext/>
        <w:widowControl w:val="0"/>
        <w:spacing w:after="0" w:line="240" w:lineRule="auto"/>
        <w:jc w:val="center"/>
        <w:rPr>
          <w:b/>
          <w:bCs/>
          <w:sz w:val="24"/>
          <w:szCs w:val="24"/>
        </w:rPr>
      </w:pPr>
      <w:r>
        <w:rPr>
          <w:b/>
          <w:bCs/>
          <w:sz w:val="24"/>
          <w:szCs w:val="24"/>
        </w:rPr>
        <w:t>Community Development Block Grant Program (CDBG)</w:t>
      </w:r>
      <w:r>
        <w:rPr>
          <w:i/>
          <w:iCs/>
        </w:rPr>
        <w:t xml:space="preserve"> </w:t>
      </w:r>
    </w:p>
    <w:p w:rsidR="00170BD4" w:rsidRDefault="00170BD4">
      <w:pPr>
        <w:keepNext/>
        <w:widowControl w:val="0"/>
        <w:spacing w:after="0" w:line="240" w:lineRule="auto"/>
        <w:jc w:val="center"/>
        <w:rPr>
          <w:b/>
          <w:bCs/>
          <w:sz w:val="24"/>
          <w:szCs w:val="24"/>
        </w:rPr>
      </w:pPr>
      <w:r>
        <w:rPr>
          <w:b/>
          <w:bCs/>
          <w:sz w:val="24"/>
          <w:szCs w:val="24"/>
        </w:rPr>
        <w:t>Reference 24 CFR 91.220(l)(1)</w:t>
      </w:r>
      <w:r>
        <w:rPr>
          <w:i/>
          <w:iCs/>
        </w:rPr>
        <w:t xml:space="preserve"> </w:t>
      </w:r>
    </w:p>
    <w:p w:rsidR="00170BD4" w:rsidRDefault="00170BD4">
      <w:pPr>
        <w:keepNext/>
        <w:widowControl w:val="0"/>
        <w:spacing w:after="0" w:line="240" w:lineRule="auto"/>
      </w:pPr>
      <w:r>
        <w:t xml:space="preserve">Projects planned with all CDBG funds expected to be available during the year are identified in the Projects Table. The following identifies program income that is available for use that is included in projects to be carried out. </w:t>
      </w:r>
    </w:p>
    <w:p w:rsidR="00170BD4" w:rsidRDefault="00170BD4">
      <w:pPr>
        <w:widowControl w:val="0"/>
        <w:spacing w:after="0" w:line="240" w:lineRule="auto"/>
      </w:pPr>
    </w:p>
    <w:tbl>
      <w:tblPr>
        <w:tblW w:w="5000" w:type="pct"/>
        <w:tblInd w:w="-106" w:type="dxa"/>
        <w:tblLook w:val="01E0"/>
      </w:tblPr>
      <w:tblGrid>
        <w:gridCol w:w="8010"/>
        <w:gridCol w:w="1566"/>
      </w:tblGrid>
      <w:tr w:rsidR="00170BD4">
        <w:tc>
          <w:tcPr>
            <w:tcW w:w="9576" w:type="dxa"/>
            <w:gridSpan w:val="2"/>
          </w:tcPr>
          <w:p w:rsidR="00170BD4" w:rsidRDefault="00170BD4">
            <w:pPr>
              <w:keepNext/>
              <w:widowControl w:val="0"/>
              <w:spacing w:after="0" w:line="240" w:lineRule="auto"/>
            </w:pPr>
          </w:p>
        </w:tc>
      </w:tr>
      <w:tr w:rsidR="00170BD4">
        <w:tc>
          <w:tcPr>
            <w:tcW w:w="8010" w:type="dxa"/>
          </w:tcPr>
          <w:p w:rsidR="00170BD4" w:rsidRDefault="00170BD4">
            <w:pPr>
              <w:keepNext/>
              <w:widowControl w:val="0"/>
              <w:spacing w:after="0" w:line="240" w:lineRule="auto"/>
            </w:pPr>
            <w:r>
              <w:t xml:space="preserve">1. The total amount of program income that will have been received before </w:t>
            </w:r>
          </w:p>
          <w:p w:rsidR="00170BD4" w:rsidRDefault="00170BD4">
            <w:pPr>
              <w:keepNext/>
              <w:widowControl w:val="0"/>
              <w:spacing w:after="0" w:line="240" w:lineRule="auto"/>
            </w:pPr>
            <w:r>
              <w:t>the start of the next program year and that has not yet been reprogrammed</w:t>
            </w:r>
          </w:p>
        </w:tc>
        <w:tc>
          <w:tcPr>
            <w:tcW w:w="1566" w:type="dxa"/>
          </w:tcPr>
          <w:p w:rsidR="00170BD4" w:rsidRDefault="00170BD4">
            <w:pPr>
              <w:keepNext/>
              <w:widowControl w:val="0"/>
              <w:spacing w:after="0" w:line="240" w:lineRule="auto"/>
              <w:jc w:val="center"/>
            </w:pPr>
          </w:p>
        </w:tc>
      </w:tr>
      <w:tr w:rsidR="00170BD4">
        <w:tc>
          <w:tcPr>
            <w:tcW w:w="8010" w:type="dxa"/>
          </w:tcPr>
          <w:p w:rsidR="00170BD4" w:rsidRDefault="00170BD4">
            <w:pPr>
              <w:keepNext/>
              <w:widowControl w:val="0"/>
              <w:spacing w:after="0" w:line="240" w:lineRule="auto"/>
            </w:pPr>
            <w:r>
              <w:t xml:space="preserve">2. The amount of proceeds from section 108 loan guarantees that will be </w:t>
            </w:r>
          </w:p>
          <w:p w:rsidR="00170BD4" w:rsidRDefault="00170BD4">
            <w:pPr>
              <w:keepNext/>
              <w:widowControl w:val="0"/>
              <w:spacing w:after="0" w:line="240" w:lineRule="auto"/>
            </w:pPr>
            <w:r>
              <w:t xml:space="preserve">used during the year to address the priority needs and specific objectives </w:t>
            </w:r>
          </w:p>
          <w:p w:rsidR="00170BD4" w:rsidRDefault="00170BD4">
            <w:pPr>
              <w:keepNext/>
              <w:widowControl w:val="0"/>
              <w:spacing w:after="0" w:line="240" w:lineRule="auto"/>
            </w:pPr>
            <w:r>
              <w:t>identified in the grantee's strategic plan</w:t>
            </w:r>
          </w:p>
        </w:tc>
        <w:tc>
          <w:tcPr>
            <w:tcW w:w="1566" w:type="dxa"/>
          </w:tcPr>
          <w:p w:rsidR="00170BD4" w:rsidRDefault="00170BD4">
            <w:pPr>
              <w:keepNext/>
              <w:widowControl w:val="0"/>
              <w:spacing w:after="0" w:line="240" w:lineRule="auto"/>
              <w:jc w:val="center"/>
            </w:pPr>
          </w:p>
        </w:tc>
      </w:tr>
      <w:tr w:rsidR="00170BD4">
        <w:tc>
          <w:tcPr>
            <w:tcW w:w="8010" w:type="dxa"/>
          </w:tcPr>
          <w:p w:rsidR="00170BD4" w:rsidRDefault="00170BD4">
            <w:pPr>
              <w:keepNext/>
              <w:widowControl w:val="0"/>
              <w:spacing w:after="0" w:line="240" w:lineRule="auto"/>
            </w:pPr>
            <w:r>
              <w:t>3. The amount of surplus funds from urban renewal settlements</w:t>
            </w:r>
          </w:p>
        </w:tc>
        <w:tc>
          <w:tcPr>
            <w:tcW w:w="1566" w:type="dxa"/>
          </w:tcPr>
          <w:p w:rsidR="00170BD4" w:rsidRDefault="00170BD4">
            <w:pPr>
              <w:keepNext/>
              <w:widowControl w:val="0"/>
              <w:spacing w:after="0" w:line="240" w:lineRule="auto"/>
              <w:jc w:val="center"/>
            </w:pPr>
          </w:p>
        </w:tc>
      </w:tr>
      <w:tr w:rsidR="00170BD4">
        <w:tc>
          <w:tcPr>
            <w:tcW w:w="8010" w:type="dxa"/>
          </w:tcPr>
          <w:p w:rsidR="00170BD4" w:rsidRDefault="00170BD4">
            <w:pPr>
              <w:keepNext/>
              <w:widowControl w:val="0"/>
              <w:spacing w:after="0" w:line="240" w:lineRule="auto"/>
            </w:pPr>
            <w:r>
              <w:t xml:space="preserve">4. The amount of any grant funds returned to the line of credit for which the </w:t>
            </w:r>
            <w:r>
              <w:br/>
              <w:t>planned use has not been included in a prior statement or plan.</w:t>
            </w:r>
          </w:p>
        </w:tc>
        <w:tc>
          <w:tcPr>
            <w:tcW w:w="1566" w:type="dxa"/>
          </w:tcPr>
          <w:p w:rsidR="00170BD4" w:rsidRDefault="00170BD4">
            <w:pPr>
              <w:keepNext/>
              <w:widowControl w:val="0"/>
              <w:spacing w:after="0" w:line="240" w:lineRule="auto"/>
              <w:jc w:val="center"/>
            </w:pPr>
          </w:p>
        </w:tc>
      </w:tr>
      <w:tr w:rsidR="00170BD4">
        <w:tc>
          <w:tcPr>
            <w:tcW w:w="8010" w:type="dxa"/>
          </w:tcPr>
          <w:p w:rsidR="00170BD4" w:rsidRDefault="00170BD4">
            <w:pPr>
              <w:keepNext/>
              <w:widowControl w:val="0"/>
              <w:spacing w:after="0" w:line="240" w:lineRule="auto"/>
            </w:pPr>
            <w:r>
              <w:t>5. The amount of income from float-funded activities</w:t>
            </w:r>
          </w:p>
        </w:tc>
        <w:tc>
          <w:tcPr>
            <w:tcW w:w="1566" w:type="dxa"/>
          </w:tcPr>
          <w:p w:rsidR="00170BD4" w:rsidRDefault="00170BD4">
            <w:pPr>
              <w:keepNext/>
              <w:widowControl w:val="0"/>
              <w:spacing w:after="0" w:line="240" w:lineRule="auto"/>
              <w:jc w:val="center"/>
            </w:pPr>
          </w:p>
        </w:tc>
      </w:tr>
      <w:tr w:rsidR="00170BD4">
        <w:tc>
          <w:tcPr>
            <w:tcW w:w="8010" w:type="dxa"/>
          </w:tcPr>
          <w:p w:rsidR="00170BD4" w:rsidRDefault="00170BD4">
            <w:pPr>
              <w:keepNext/>
              <w:widowControl w:val="0"/>
              <w:spacing w:after="0" w:line="240" w:lineRule="auto"/>
            </w:pPr>
            <w:r>
              <w:t>Total Program Income</w:t>
            </w:r>
          </w:p>
        </w:tc>
        <w:tc>
          <w:tcPr>
            <w:tcW w:w="1566" w:type="dxa"/>
          </w:tcPr>
          <w:p w:rsidR="00170BD4" w:rsidRDefault="00170BD4">
            <w:pPr>
              <w:keepNext/>
              <w:widowControl w:val="0"/>
              <w:spacing w:after="0" w:line="240" w:lineRule="auto"/>
              <w:jc w:val="center"/>
            </w:pPr>
          </w:p>
        </w:tc>
      </w:tr>
    </w:tbl>
    <w:p w:rsidR="00170BD4" w:rsidRDefault="00170BD4">
      <w:pPr>
        <w:keepNext/>
        <w:widowControl w:val="0"/>
        <w:spacing w:after="0" w:line="240" w:lineRule="auto"/>
      </w:pPr>
    </w:p>
    <w:p w:rsidR="00170BD4" w:rsidRDefault="00170BD4">
      <w:pPr>
        <w:keepNext/>
        <w:widowControl w:val="0"/>
        <w:spacing w:after="0" w:line="240" w:lineRule="auto"/>
        <w:jc w:val="center"/>
        <w:rPr>
          <w:b/>
          <w:bCs/>
          <w:sz w:val="24"/>
          <w:szCs w:val="24"/>
        </w:rPr>
      </w:pPr>
      <w:r>
        <w:rPr>
          <w:b/>
          <w:bCs/>
          <w:sz w:val="24"/>
          <w:szCs w:val="24"/>
        </w:rPr>
        <w:t>Other CDBG Requirements</w:t>
      </w:r>
      <w:r>
        <w:rPr>
          <w:i/>
          <w:iCs/>
        </w:rPr>
        <w:t xml:space="preserve"> </w:t>
      </w:r>
    </w:p>
    <w:tbl>
      <w:tblPr>
        <w:tblW w:w="5000" w:type="pct"/>
        <w:tblInd w:w="-106" w:type="dxa"/>
        <w:tblLook w:val="01E0"/>
      </w:tblPr>
      <w:tblGrid>
        <w:gridCol w:w="7916"/>
        <w:gridCol w:w="1660"/>
      </w:tblGrid>
      <w:tr w:rsidR="00170BD4">
        <w:tc>
          <w:tcPr>
            <w:tcW w:w="9576" w:type="dxa"/>
            <w:gridSpan w:val="2"/>
          </w:tcPr>
          <w:p w:rsidR="00170BD4" w:rsidRDefault="00170BD4">
            <w:pPr>
              <w:keepNext/>
              <w:widowControl w:val="0"/>
              <w:spacing w:after="0" w:line="240" w:lineRule="auto"/>
            </w:pPr>
          </w:p>
        </w:tc>
      </w:tr>
      <w:tr w:rsidR="00170BD4">
        <w:tc>
          <w:tcPr>
            <w:tcW w:w="7916" w:type="dxa"/>
          </w:tcPr>
          <w:p w:rsidR="00170BD4" w:rsidRDefault="00170BD4">
            <w:pPr>
              <w:keepNext/>
              <w:widowControl w:val="0"/>
              <w:spacing w:after="0" w:line="240" w:lineRule="auto"/>
            </w:pPr>
            <w:r>
              <w:t>1. The amount of urgent need activities</w:t>
            </w:r>
          </w:p>
        </w:tc>
        <w:tc>
          <w:tcPr>
            <w:tcW w:w="1660" w:type="dxa"/>
          </w:tcPr>
          <w:p w:rsidR="00170BD4" w:rsidRDefault="00170BD4">
            <w:pPr>
              <w:keepNext/>
              <w:widowControl w:val="0"/>
              <w:spacing w:after="0" w:line="240" w:lineRule="auto"/>
            </w:pPr>
          </w:p>
        </w:tc>
      </w:tr>
    </w:tbl>
    <w:p w:rsidR="00170BD4" w:rsidRDefault="00170BD4">
      <w:pPr>
        <w:widowControl w:val="0"/>
        <w:spacing w:after="0" w:line="240" w:lineRule="auto"/>
        <w:rPr>
          <w:vanish/>
          <w:sz w:val="4"/>
          <w:szCs w:val="4"/>
        </w:rPr>
      </w:pPr>
    </w:p>
    <w:p w:rsidR="00170BD4" w:rsidRDefault="00170BD4">
      <w:pPr>
        <w:spacing w:after="0" w:line="240" w:lineRule="auto"/>
      </w:pPr>
    </w:p>
    <w:p w:rsidR="00170BD4" w:rsidRDefault="00170BD4">
      <w:pPr>
        <w:spacing w:after="0" w:line="240" w:lineRule="auto"/>
      </w:pPr>
    </w:p>
    <w:p w:rsidR="00170BD4" w:rsidRDefault="00170BD4">
      <w:pPr>
        <w:spacing w:after="0" w:line="240" w:lineRule="auto"/>
      </w:pPr>
    </w:p>
    <w:p w:rsidR="00170BD4" w:rsidRDefault="00170BD4">
      <w:pPr>
        <w:spacing w:after="0" w:line="240" w:lineRule="auto"/>
      </w:pPr>
    </w:p>
    <w:p w:rsidR="00170BD4" w:rsidRDefault="00170BD4">
      <w:pPr>
        <w:spacing w:after="0" w:line="240" w:lineRule="auto"/>
      </w:pPr>
    </w:p>
    <w:p w:rsidR="00170BD4" w:rsidRDefault="00170BD4">
      <w:pPr>
        <w:spacing w:after="0" w:line="240" w:lineRule="auto"/>
      </w:pPr>
    </w:p>
    <w:p w:rsidR="00170BD4" w:rsidRDefault="00170BD4">
      <w:pPr>
        <w:spacing w:after="0" w:line="240" w:lineRule="auto"/>
        <w:ind w:left="360"/>
      </w:pPr>
    </w:p>
    <w:p w:rsidR="00170BD4" w:rsidRDefault="00170BD4">
      <w:pPr>
        <w:keepNext/>
        <w:widowControl w:val="0"/>
        <w:spacing w:after="0" w:line="240" w:lineRule="auto"/>
        <w:jc w:val="center"/>
        <w:rPr>
          <w:b/>
          <w:bCs/>
          <w:sz w:val="24"/>
          <w:szCs w:val="24"/>
        </w:rPr>
      </w:pPr>
    </w:p>
    <w:p w:rsidR="00170BD4" w:rsidRDefault="00170BD4">
      <w:pPr>
        <w:rPr>
          <w:b/>
          <w:bCs/>
          <w:sz w:val="24"/>
          <w:szCs w:val="24"/>
        </w:rPr>
      </w:pPr>
      <w:r>
        <w:rPr>
          <w:b/>
          <w:bCs/>
          <w:sz w:val="24"/>
          <w:szCs w:val="24"/>
        </w:rPr>
        <w:t>Discussion</w:t>
      </w:r>
    </w:p>
    <w:sectPr w:rsidR="00170BD4" w:rsidSect="003A34D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BD4" w:rsidRDefault="00170BD4">
      <w:r>
        <w:separator/>
      </w:r>
    </w:p>
  </w:endnote>
  <w:endnote w:type="continuationSeparator" w:id="1">
    <w:p w:rsidR="00170BD4" w:rsidRDefault="00170B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D4" w:rsidRDefault="00170BD4">
    <w:pPr>
      <w:pStyle w:val="Footer"/>
      <w:pBdr>
        <w:top w:val="thickThinSmallGap" w:sz="24" w:space="1" w:color="993300"/>
      </w:pBdr>
      <w:rPr>
        <w:color w:val="993300"/>
        <w:sz w:val="10"/>
        <w:szCs w:val="10"/>
      </w:rPr>
    </w:pPr>
  </w:p>
  <w:p w:rsidR="00170BD4" w:rsidRDefault="00170BD4">
    <w:pPr>
      <w:pStyle w:val="Footer"/>
    </w:pPr>
    <w:fldSimple w:instr=" REF Title Title2  \* MERGEFORMAT ">
      <w:r w:rsidRPr="00EE2A06">
        <w:rPr>
          <w:color w:val="993300"/>
        </w:rPr>
        <w:t>Fourth Program Year</w:t>
      </w:r>
    </w:fldSimple>
    <w:r>
      <w:rPr>
        <w:color w:val="993300"/>
      </w:rPr>
      <w:t xml:space="preserve"> </w:t>
    </w:r>
    <w:fldSimple w:instr=" REF Title2  \* MERGEFORMAT ">
      <w:r w:rsidRPr="00EE2A06">
        <w:rPr>
          <w:color w:val="993300"/>
        </w:rPr>
        <w:t>Action Plan</w:t>
      </w:r>
    </w:fldSimple>
    <w:r>
      <w:rPr>
        <w:color w:val="993300"/>
      </w:rPr>
      <w:tab/>
    </w:r>
    <w:r>
      <w:rPr>
        <w:rStyle w:val="PageNumber"/>
        <w:color w:val="993300"/>
      </w:rPr>
      <w:fldChar w:fldCharType="begin"/>
    </w:r>
    <w:r>
      <w:rPr>
        <w:rStyle w:val="PageNumber"/>
        <w:color w:val="993300"/>
      </w:rPr>
      <w:instrText xml:space="preserve"> PAGE </w:instrText>
    </w:r>
    <w:r>
      <w:rPr>
        <w:rStyle w:val="PageNumber"/>
        <w:color w:val="993300"/>
      </w:rPr>
      <w:fldChar w:fldCharType="separate"/>
    </w:r>
    <w:r>
      <w:rPr>
        <w:rStyle w:val="PageNumber"/>
        <w:noProof/>
        <w:color w:val="993300"/>
      </w:rPr>
      <w:t>8</w:t>
    </w:r>
    <w:r>
      <w:rPr>
        <w:rStyle w:val="PageNumber"/>
        <w:color w:val="993300"/>
      </w:rPr>
      <w:fldChar w:fldCharType="end"/>
    </w:r>
    <w:r>
      <w:rPr>
        <w:rStyle w:val="PageNumber"/>
        <w:color w:val="993300"/>
      </w:rPr>
      <w:tab/>
    </w:r>
    <w:r>
      <w:rPr>
        <w:rStyle w:val="PageNumber"/>
        <w:color w:val="993300"/>
      </w:rPr>
      <w:fldChar w:fldCharType="begin"/>
    </w:r>
    <w:r>
      <w:rPr>
        <w:rStyle w:val="PageNumber"/>
        <w:color w:val="993300"/>
      </w:rPr>
      <w:instrText xml:space="preserve"> LINK Excel.Sheet.8 "C:\\Users\\Gary\\AppData\\Local\\Microsoft\\Windows\\Temporary Internet Files\\Content.IE5\\XDI87B0B\\1CPMP.xls" Links!R5C51 \a \t </w:instrText>
    </w:r>
    <w:r>
      <w:rPr>
        <w:rStyle w:val="PageNumber"/>
        <w:color w:val="993300"/>
      </w:rPr>
      <w:fldChar w:fldCharType="separate"/>
    </w:r>
    <w:r>
      <w:rPr>
        <w:rFonts w:ascii="Times New Roman" w:hAnsi="Times New Roman" w:cs="Times New Roman"/>
        <w:b/>
        <w:bCs/>
      </w:rPr>
      <w:t>Error! Not a valid link.</w:t>
    </w:r>
    <w:r>
      <w:rPr>
        <w:rStyle w:val="PageNumber"/>
        <w:color w:val="9933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D4" w:rsidRDefault="00170BD4">
    <w:pPr>
      <w:pStyle w:val="Footer"/>
      <w:pBdr>
        <w:top w:val="thickThinSmallGap" w:sz="24" w:space="1" w:color="993300"/>
      </w:pBdr>
      <w:rPr>
        <w:color w:val="993300"/>
        <w:sz w:val="10"/>
        <w:szCs w:val="10"/>
      </w:rPr>
    </w:pPr>
  </w:p>
  <w:p w:rsidR="00170BD4" w:rsidRDefault="00170BD4">
    <w:pPr>
      <w:pStyle w:val="Footer"/>
      <w:rPr>
        <w:color w:val="993300"/>
      </w:rPr>
    </w:pPr>
    <w:fldSimple w:instr=" REF Title Title2  \* MERGEFORMAT ">
      <w:r w:rsidRPr="00EE2A06">
        <w:rPr>
          <w:color w:val="993300"/>
        </w:rPr>
        <w:t>Fourth Program Year</w:t>
      </w:r>
    </w:fldSimple>
    <w:r>
      <w:rPr>
        <w:color w:val="993300"/>
      </w:rPr>
      <w:t xml:space="preserve"> </w:t>
    </w:r>
    <w:fldSimple w:instr=" REF Title2  \* MERGEFORMAT ">
      <w:r w:rsidRPr="00EE2A06">
        <w:rPr>
          <w:color w:val="993300"/>
        </w:rPr>
        <w:t>Action Plan</w:t>
      </w:r>
    </w:fldSimple>
    <w:r>
      <w:rPr>
        <w:color w:val="993300"/>
      </w:rPr>
      <w:tab/>
    </w:r>
    <w:r>
      <w:rPr>
        <w:rStyle w:val="PageNumber"/>
        <w:color w:val="993300"/>
      </w:rPr>
      <w:fldChar w:fldCharType="begin"/>
    </w:r>
    <w:r>
      <w:rPr>
        <w:rStyle w:val="PageNumber"/>
        <w:color w:val="993300"/>
      </w:rPr>
      <w:instrText xml:space="preserve"> PAGE </w:instrText>
    </w:r>
    <w:r>
      <w:rPr>
        <w:rStyle w:val="PageNumber"/>
        <w:color w:val="993300"/>
      </w:rPr>
      <w:fldChar w:fldCharType="separate"/>
    </w:r>
    <w:r>
      <w:rPr>
        <w:rStyle w:val="PageNumber"/>
        <w:noProof/>
        <w:color w:val="993300"/>
      </w:rPr>
      <w:t>1</w:t>
    </w:r>
    <w:r>
      <w:rPr>
        <w:rStyle w:val="PageNumber"/>
        <w:color w:val="993300"/>
      </w:rPr>
      <w:fldChar w:fldCharType="end"/>
    </w:r>
    <w:r>
      <w:rPr>
        <w:rStyle w:val="PageNumber"/>
        <w:color w:val="993300"/>
      </w:rPr>
      <w:tab/>
    </w:r>
    <w:r>
      <w:rPr>
        <w:rStyle w:val="PageNumber"/>
        <w:color w:val="993300"/>
      </w:rPr>
      <w:fldChar w:fldCharType="begin"/>
    </w:r>
    <w:r>
      <w:rPr>
        <w:rStyle w:val="PageNumber"/>
        <w:color w:val="993300"/>
      </w:rPr>
      <w:instrText xml:space="preserve"> LINK Excel.Sheet.8 "C:\\Users\\Gary\\AppData\\Local\\Microsoft\\Windows\\Temporary Internet Files\\Content.IE5\\XDI87B0B\\1CPMP.xls" Links!R5C51 \a \t </w:instrText>
    </w:r>
    <w:r>
      <w:rPr>
        <w:rStyle w:val="PageNumber"/>
        <w:color w:val="993300"/>
      </w:rPr>
      <w:fldChar w:fldCharType="separate"/>
    </w:r>
    <w:r>
      <w:rPr>
        <w:rFonts w:ascii="Times New Roman" w:hAnsi="Times New Roman" w:cs="Times New Roman"/>
        <w:b/>
        <w:bCs/>
      </w:rPr>
      <w:t>Error! Not a valid link.</w:t>
    </w:r>
    <w:r>
      <w:rPr>
        <w:rStyle w:val="PageNumber"/>
        <w:color w:val="993300"/>
      </w:rPr>
      <w:fldChar w:fldCharType="end"/>
    </w:r>
    <w:r>
      <w:rPr>
        <w:rStyle w:val="PageNumber"/>
        <w:color w:val="99330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1E0"/>
    </w:tblPr>
    <w:tblGrid>
      <w:gridCol w:w="828"/>
      <w:gridCol w:w="7976"/>
      <w:gridCol w:w="772"/>
    </w:tblGrid>
    <w:tr w:rsidR="00170BD4">
      <w:trPr>
        <w:jc w:val="center"/>
      </w:trPr>
      <w:tc>
        <w:tcPr>
          <w:tcW w:w="828" w:type="dxa"/>
        </w:tcPr>
        <w:p w:rsidR="00170BD4" w:rsidRDefault="00170BD4">
          <w:pPr>
            <w:pStyle w:val="Footer"/>
            <w:spacing w:after="0" w:line="240" w:lineRule="auto"/>
            <w:jc w:val="center"/>
          </w:pPr>
        </w:p>
      </w:tc>
      <w:tc>
        <w:tcPr>
          <w:tcW w:w="7976" w:type="dxa"/>
        </w:tcPr>
        <w:p w:rsidR="00170BD4" w:rsidRDefault="00170BD4">
          <w:pPr>
            <w:pStyle w:val="Footer"/>
            <w:spacing w:after="0" w:line="240" w:lineRule="auto"/>
            <w:jc w:val="center"/>
          </w:pPr>
          <w:r>
            <w:t>Annual Action Plan</w:t>
          </w:r>
        </w:p>
        <w:p w:rsidR="00170BD4" w:rsidRDefault="00170BD4">
          <w:pPr>
            <w:pStyle w:val="Footer"/>
            <w:spacing w:after="0" w:line="240" w:lineRule="auto"/>
            <w:jc w:val="center"/>
          </w:pPr>
          <w:r>
            <w:t>2013</w:t>
          </w:r>
        </w:p>
      </w:tc>
      <w:tc>
        <w:tcPr>
          <w:tcW w:w="772" w:type="dxa"/>
        </w:tcPr>
        <w:p w:rsidR="00170BD4" w:rsidRDefault="00170BD4">
          <w:pPr>
            <w:pStyle w:val="Footer"/>
            <w:spacing w:after="0" w:line="240" w:lineRule="auto"/>
            <w:jc w:val="right"/>
          </w:pPr>
          <w:fldSimple w:instr="page">
            <w:r>
              <w:rPr>
                <w:noProof/>
              </w:rPr>
              <w:t>25</w:t>
            </w:r>
          </w:fldSimple>
        </w:p>
      </w:tc>
    </w:tr>
  </w:tbl>
  <w:p w:rsidR="00170BD4" w:rsidRDefault="00170BD4">
    <w:pPr>
      <w:pStyle w:val="Footer"/>
      <w:spacing w:before="120" w:after="0"/>
      <w:rPr>
        <w:b/>
        <w:bCs/>
        <w:i/>
        <w:iCs/>
        <w:sz w:val="16"/>
        <w:szCs w:val="16"/>
      </w:rPr>
    </w:pPr>
    <w:r>
      <w:rPr>
        <w:color w:val="000000"/>
        <w:sz w:val="16"/>
        <w:szCs w:val="16"/>
      </w:rPr>
      <w:t>OMB Control No: 2506-0117 (exp. 07/31/2015)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BD4" w:rsidRDefault="00170BD4">
      <w:r>
        <w:separator/>
      </w:r>
    </w:p>
  </w:footnote>
  <w:footnote w:type="continuationSeparator" w:id="1">
    <w:p w:rsidR="00170BD4" w:rsidRDefault="00170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D4" w:rsidRDefault="00170BD4">
    <w:pPr>
      <w:pStyle w:val="Header"/>
      <w:pBdr>
        <w:bottom w:val="thickThinSmallGap" w:sz="24" w:space="1" w:color="993300"/>
      </w:pBdr>
      <w:rPr>
        <w:color w:val="9933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456.8pt;height:152.25pt;rotation:315;z-index:-251656192;mso-position-horizontal:center;mso-position-horizontal-relative:margin;mso-position-vertical:center;mso-position-vertical-relative:margin" o:allowincell="f" fillcolor="silver" stroked="f">
          <v:fill opacity=".5"/>
          <v:textpath style="font-family:&quot;Verdana&quot;;font-size:1pt" string="DRAFT"/>
        </v:shape>
      </w:pict>
    </w:r>
    <w:r>
      <w:rPr>
        <w:color w:val="993300"/>
      </w:rPr>
      <w:fldChar w:fldCharType="begin"/>
    </w:r>
    <w:r>
      <w:rPr>
        <w:color w:val="993300"/>
      </w:rPr>
      <w:instrText xml:space="preserve"> LINK Excel.Sheet.8 "C:\\Users\\Gary\\AppData\\Local\\Microsoft\\Windows\\Temporary Internet Files\\Content.IE5\\XDI87B0B\\1CPMP.xls" Links!R5C22 \a \t </w:instrText>
    </w:r>
    <w:r>
      <w:rPr>
        <w:color w:val="993300"/>
      </w:rPr>
      <w:fldChar w:fldCharType="separate"/>
    </w:r>
    <w:r>
      <w:rPr>
        <w:rFonts w:ascii="Times New Roman" w:hAnsi="Times New Roman" w:cs="Times New Roman"/>
        <w:b/>
        <w:bCs/>
      </w:rPr>
      <w:t>Error! Not a valid link.</w:t>
    </w:r>
    <w:r>
      <w:rPr>
        <w:color w:val="9933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D4" w:rsidRDefault="00170B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pt;height:152.25pt;rotation:315;z-index:-251654144;mso-position-horizontal:center;mso-position-horizontal-relative:margin;mso-position-vertical:center;mso-position-vertical-relative:margin" o:allowincell="f" fillcolor="silver" stroked="f">
          <v:fill opacity=".5"/>
          <v:textpath style="font-family:&quot;Verdana&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3108E9C"/>
    <w:lvl w:ilvl="0">
      <w:start w:val="1"/>
      <w:numFmt w:val="decimal"/>
      <w:lvlText w:val="%1."/>
      <w:lvlJc w:val="left"/>
      <w:pPr>
        <w:tabs>
          <w:tab w:val="num" w:pos="1800"/>
        </w:tabs>
        <w:ind w:left="1800" w:hanging="360"/>
      </w:pPr>
    </w:lvl>
  </w:abstractNum>
  <w:abstractNum w:abstractNumId="1">
    <w:nsid w:val="FFFFFF7D"/>
    <w:multiLevelType w:val="singleLevel"/>
    <w:tmpl w:val="A3848782"/>
    <w:lvl w:ilvl="0">
      <w:start w:val="1"/>
      <w:numFmt w:val="decimal"/>
      <w:lvlText w:val="%1."/>
      <w:lvlJc w:val="left"/>
      <w:pPr>
        <w:tabs>
          <w:tab w:val="num" w:pos="1440"/>
        </w:tabs>
        <w:ind w:left="1440" w:hanging="360"/>
      </w:pPr>
    </w:lvl>
  </w:abstractNum>
  <w:abstractNum w:abstractNumId="2">
    <w:nsid w:val="FFFFFF7E"/>
    <w:multiLevelType w:val="singleLevel"/>
    <w:tmpl w:val="111CDC50"/>
    <w:lvl w:ilvl="0">
      <w:start w:val="1"/>
      <w:numFmt w:val="decimal"/>
      <w:lvlText w:val="%1."/>
      <w:lvlJc w:val="left"/>
      <w:pPr>
        <w:tabs>
          <w:tab w:val="num" w:pos="1080"/>
        </w:tabs>
        <w:ind w:left="1080" w:hanging="360"/>
      </w:pPr>
    </w:lvl>
  </w:abstractNum>
  <w:abstractNum w:abstractNumId="3">
    <w:nsid w:val="FFFFFF7F"/>
    <w:multiLevelType w:val="singleLevel"/>
    <w:tmpl w:val="6CECF734"/>
    <w:lvl w:ilvl="0">
      <w:start w:val="1"/>
      <w:numFmt w:val="decimal"/>
      <w:lvlText w:val="%1."/>
      <w:lvlJc w:val="left"/>
      <w:pPr>
        <w:tabs>
          <w:tab w:val="num" w:pos="720"/>
        </w:tabs>
        <w:ind w:left="720" w:hanging="360"/>
      </w:p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cs="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45B42A3"/>
    <w:multiLevelType w:val="hybridMultilevel"/>
    <w:tmpl w:val="FA82EE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3CB0CE3"/>
    <w:multiLevelType w:val="hybridMultilevel"/>
    <w:tmpl w:val="A09AC69E"/>
    <w:lvl w:ilvl="0" w:tplc="696A65C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C4B312F"/>
    <w:multiLevelType w:val="hybridMultilevel"/>
    <w:tmpl w:val="13FE57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1F9F5681"/>
    <w:multiLevelType w:val="hybridMultilevel"/>
    <w:tmpl w:val="ACE2CAEC"/>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5">
    <w:nsid w:val="414528EA"/>
    <w:multiLevelType w:val="hybridMultilevel"/>
    <w:tmpl w:val="1AE41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19A3E8F"/>
    <w:multiLevelType w:val="hybridMultilevel"/>
    <w:tmpl w:val="7702014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52A66F1D"/>
    <w:multiLevelType w:val="hybridMultilevel"/>
    <w:tmpl w:val="7840D052"/>
    <w:lvl w:ilvl="0" w:tplc="CE0404E0">
      <w:start w:val="2"/>
      <w:numFmt w:val="decimal"/>
      <w:lvlText w:val="%1."/>
      <w:lvlJc w:val="left"/>
      <w:pPr>
        <w:tabs>
          <w:tab w:val="num" w:pos="720"/>
        </w:tabs>
        <w:ind w:left="720" w:hanging="360"/>
      </w:pPr>
      <w:rPr>
        <w:rFonts w:hint="default"/>
      </w:rPr>
    </w:lvl>
    <w:lvl w:ilvl="1" w:tplc="19DC6CD6">
      <w:start w:val="1"/>
      <w:numFmt w:val="bullet"/>
      <w:lvlText w:val=""/>
      <w:lvlJc w:val="left"/>
      <w:pPr>
        <w:tabs>
          <w:tab w:val="num" w:pos="1440"/>
        </w:tabs>
        <w:ind w:left="1440" w:hanging="360"/>
      </w:pPr>
      <w:rPr>
        <w:rFonts w:ascii="Symbol" w:hAnsi="Symbol" w:cs="Symbol" w:hint="default"/>
        <w:sz w:val="24"/>
        <w:szCs w:val="24"/>
      </w:rPr>
    </w:lvl>
    <w:lvl w:ilvl="2" w:tplc="04090001">
      <w:start w:val="1"/>
      <w:numFmt w:val="bullet"/>
      <w:lvlText w:val=""/>
      <w:lvlJc w:val="left"/>
      <w:pPr>
        <w:tabs>
          <w:tab w:val="num" w:pos="2340"/>
        </w:tabs>
        <w:ind w:left="2340" w:hanging="360"/>
      </w:pPr>
      <w:rPr>
        <w:rFonts w:ascii="Symbol" w:hAnsi="Symbol" w:cs="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3B87557"/>
    <w:multiLevelType w:val="hybridMultilevel"/>
    <w:tmpl w:val="8368D3B8"/>
    <w:lvl w:ilvl="0" w:tplc="7E0ACF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58CE2ACE"/>
    <w:multiLevelType w:val="hybridMultilevel"/>
    <w:tmpl w:val="D780CA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5CE17DD4"/>
    <w:multiLevelType w:val="hybridMultilevel"/>
    <w:tmpl w:val="FE3615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680F5372"/>
    <w:multiLevelType w:val="hybridMultilevel"/>
    <w:tmpl w:val="954E6904"/>
    <w:lvl w:ilvl="0" w:tplc="B644CCE0">
      <w:start w:val="1"/>
      <w:numFmt w:val="decimal"/>
      <w:lvlText w:val="%1."/>
      <w:lvlJc w:val="left"/>
      <w:pPr>
        <w:tabs>
          <w:tab w:val="num" w:pos="1080"/>
        </w:tabs>
        <w:ind w:left="1080" w:hanging="720"/>
      </w:pPr>
      <w:rPr>
        <w:rFonts w:hint="default"/>
      </w:rPr>
    </w:lvl>
    <w:lvl w:ilvl="1" w:tplc="278EEE6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CB94992"/>
    <w:multiLevelType w:val="hybridMultilevel"/>
    <w:tmpl w:val="1AE41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D5C4484"/>
    <w:multiLevelType w:val="hybridMultilevel"/>
    <w:tmpl w:val="650616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nsid w:val="7CAD51AB"/>
    <w:multiLevelType w:val="hybridMultilevel"/>
    <w:tmpl w:val="242AB0B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4"/>
  </w:num>
  <w:num w:numId="14">
    <w:abstractNumId w:val="19"/>
  </w:num>
  <w:num w:numId="15">
    <w:abstractNumId w:val="16"/>
  </w:num>
  <w:num w:numId="16">
    <w:abstractNumId w:val="23"/>
  </w:num>
  <w:num w:numId="17">
    <w:abstractNumId w:val="12"/>
  </w:num>
  <w:num w:numId="18">
    <w:abstractNumId w:val="22"/>
  </w:num>
  <w:num w:numId="19">
    <w:abstractNumId w:val="15"/>
  </w:num>
  <w:num w:numId="20">
    <w:abstractNumId w:val="14"/>
  </w:num>
  <w:num w:numId="21">
    <w:abstractNumId w:val="20"/>
  </w:num>
  <w:num w:numId="22">
    <w:abstractNumId w:val="13"/>
  </w:num>
  <w:num w:numId="23">
    <w:abstractNumId w:val="21"/>
  </w:num>
  <w:num w:numId="24">
    <w:abstractNumId w:val="18"/>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3550"/>
    <w:rsid w:val="00000EC6"/>
    <w:rsid w:val="00001671"/>
    <w:rsid w:val="00001CBE"/>
    <w:rsid w:val="00004F01"/>
    <w:rsid w:val="000101FE"/>
    <w:rsid w:val="000116B2"/>
    <w:rsid w:val="00014F0C"/>
    <w:rsid w:val="00015837"/>
    <w:rsid w:val="0001643E"/>
    <w:rsid w:val="000202EB"/>
    <w:rsid w:val="000204C7"/>
    <w:rsid w:val="00022CF5"/>
    <w:rsid w:val="00026149"/>
    <w:rsid w:val="00026658"/>
    <w:rsid w:val="00027899"/>
    <w:rsid w:val="00027D6F"/>
    <w:rsid w:val="00032C1E"/>
    <w:rsid w:val="0003300B"/>
    <w:rsid w:val="0003459B"/>
    <w:rsid w:val="00035628"/>
    <w:rsid w:val="000357CA"/>
    <w:rsid w:val="00035F04"/>
    <w:rsid w:val="00042C4D"/>
    <w:rsid w:val="00043B67"/>
    <w:rsid w:val="00044565"/>
    <w:rsid w:val="00045806"/>
    <w:rsid w:val="00047E3E"/>
    <w:rsid w:val="000518AA"/>
    <w:rsid w:val="00053E62"/>
    <w:rsid w:val="00054780"/>
    <w:rsid w:val="00056828"/>
    <w:rsid w:val="00057E29"/>
    <w:rsid w:val="0006043C"/>
    <w:rsid w:val="00060CE4"/>
    <w:rsid w:val="00061845"/>
    <w:rsid w:val="00061B37"/>
    <w:rsid w:val="00061E41"/>
    <w:rsid w:val="000620FD"/>
    <w:rsid w:val="000661A8"/>
    <w:rsid w:val="000670CF"/>
    <w:rsid w:val="00067F34"/>
    <w:rsid w:val="00067FD4"/>
    <w:rsid w:val="00070633"/>
    <w:rsid w:val="00072966"/>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6141"/>
    <w:rsid w:val="0008764E"/>
    <w:rsid w:val="00087BEC"/>
    <w:rsid w:val="00091139"/>
    <w:rsid w:val="0009211D"/>
    <w:rsid w:val="00092F1F"/>
    <w:rsid w:val="0009415B"/>
    <w:rsid w:val="0009419B"/>
    <w:rsid w:val="00094BE5"/>
    <w:rsid w:val="00096632"/>
    <w:rsid w:val="00096BAB"/>
    <w:rsid w:val="00096E90"/>
    <w:rsid w:val="00096FE3"/>
    <w:rsid w:val="000975D9"/>
    <w:rsid w:val="000A3328"/>
    <w:rsid w:val="000A3869"/>
    <w:rsid w:val="000A3AF5"/>
    <w:rsid w:val="000A6604"/>
    <w:rsid w:val="000A7191"/>
    <w:rsid w:val="000A7EB6"/>
    <w:rsid w:val="000B00F7"/>
    <w:rsid w:val="000B0148"/>
    <w:rsid w:val="000B1D1C"/>
    <w:rsid w:val="000B291F"/>
    <w:rsid w:val="000B45BD"/>
    <w:rsid w:val="000B5D24"/>
    <w:rsid w:val="000B7A3C"/>
    <w:rsid w:val="000C0752"/>
    <w:rsid w:val="000C0905"/>
    <w:rsid w:val="000C20FC"/>
    <w:rsid w:val="000C265E"/>
    <w:rsid w:val="000C3ACA"/>
    <w:rsid w:val="000C666E"/>
    <w:rsid w:val="000C6BC4"/>
    <w:rsid w:val="000C74F3"/>
    <w:rsid w:val="000D422A"/>
    <w:rsid w:val="000D488E"/>
    <w:rsid w:val="000D506D"/>
    <w:rsid w:val="000D7D16"/>
    <w:rsid w:val="000E0343"/>
    <w:rsid w:val="000E0D5D"/>
    <w:rsid w:val="000E13BA"/>
    <w:rsid w:val="000E1DFB"/>
    <w:rsid w:val="000E1F9B"/>
    <w:rsid w:val="000E4A11"/>
    <w:rsid w:val="000E5032"/>
    <w:rsid w:val="000E53D6"/>
    <w:rsid w:val="000E5FBD"/>
    <w:rsid w:val="000E6121"/>
    <w:rsid w:val="000E640E"/>
    <w:rsid w:val="000E6B9A"/>
    <w:rsid w:val="000E6CB6"/>
    <w:rsid w:val="000F04AF"/>
    <w:rsid w:val="000F09C5"/>
    <w:rsid w:val="000F21DE"/>
    <w:rsid w:val="000F2810"/>
    <w:rsid w:val="000F6B53"/>
    <w:rsid w:val="0010045B"/>
    <w:rsid w:val="00101E3D"/>
    <w:rsid w:val="00102442"/>
    <w:rsid w:val="0010332E"/>
    <w:rsid w:val="0010487A"/>
    <w:rsid w:val="00106CAB"/>
    <w:rsid w:val="0010757C"/>
    <w:rsid w:val="00107844"/>
    <w:rsid w:val="001105E4"/>
    <w:rsid w:val="001121F8"/>
    <w:rsid w:val="00112F30"/>
    <w:rsid w:val="00114411"/>
    <w:rsid w:val="00114CA6"/>
    <w:rsid w:val="00115066"/>
    <w:rsid w:val="00117AB9"/>
    <w:rsid w:val="00117CAF"/>
    <w:rsid w:val="00120904"/>
    <w:rsid w:val="00121A9E"/>
    <w:rsid w:val="0012334B"/>
    <w:rsid w:val="00123B67"/>
    <w:rsid w:val="00124E85"/>
    <w:rsid w:val="00125428"/>
    <w:rsid w:val="001256B0"/>
    <w:rsid w:val="00125722"/>
    <w:rsid w:val="00125FCA"/>
    <w:rsid w:val="001261A0"/>
    <w:rsid w:val="001307C1"/>
    <w:rsid w:val="00132B0C"/>
    <w:rsid w:val="00132CEA"/>
    <w:rsid w:val="00134B79"/>
    <w:rsid w:val="0013545A"/>
    <w:rsid w:val="00135B76"/>
    <w:rsid w:val="00135EA7"/>
    <w:rsid w:val="00136724"/>
    <w:rsid w:val="00141F8B"/>
    <w:rsid w:val="0014257D"/>
    <w:rsid w:val="00142755"/>
    <w:rsid w:val="001442FB"/>
    <w:rsid w:val="001460FB"/>
    <w:rsid w:val="001508B5"/>
    <w:rsid w:val="00150B00"/>
    <w:rsid w:val="00151FDE"/>
    <w:rsid w:val="001539D4"/>
    <w:rsid w:val="00154B1A"/>
    <w:rsid w:val="00156045"/>
    <w:rsid w:val="00156205"/>
    <w:rsid w:val="00157D8A"/>
    <w:rsid w:val="0016089C"/>
    <w:rsid w:val="00160AC1"/>
    <w:rsid w:val="0016267E"/>
    <w:rsid w:val="00162A99"/>
    <w:rsid w:val="00163BA8"/>
    <w:rsid w:val="00164969"/>
    <w:rsid w:val="00165B3F"/>
    <w:rsid w:val="00166377"/>
    <w:rsid w:val="001703C2"/>
    <w:rsid w:val="00170BD4"/>
    <w:rsid w:val="001728FD"/>
    <w:rsid w:val="00172D3C"/>
    <w:rsid w:val="0017391B"/>
    <w:rsid w:val="00175A92"/>
    <w:rsid w:val="00176F2C"/>
    <w:rsid w:val="0017730C"/>
    <w:rsid w:val="00177DEF"/>
    <w:rsid w:val="00180218"/>
    <w:rsid w:val="00180753"/>
    <w:rsid w:val="00181247"/>
    <w:rsid w:val="00181253"/>
    <w:rsid w:val="001815C1"/>
    <w:rsid w:val="00182A06"/>
    <w:rsid w:val="001830FF"/>
    <w:rsid w:val="0018383F"/>
    <w:rsid w:val="00184182"/>
    <w:rsid w:val="00184AE8"/>
    <w:rsid w:val="00184CFB"/>
    <w:rsid w:val="00184F71"/>
    <w:rsid w:val="00185066"/>
    <w:rsid w:val="00186290"/>
    <w:rsid w:val="00186776"/>
    <w:rsid w:val="00186780"/>
    <w:rsid w:val="00190078"/>
    <w:rsid w:val="00192527"/>
    <w:rsid w:val="00192946"/>
    <w:rsid w:val="00192E4D"/>
    <w:rsid w:val="00193AF0"/>
    <w:rsid w:val="00193DBF"/>
    <w:rsid w:val="00194CDA"/>
    <w:rsid w:val="00194DE6"/>
    <w:rsid w:val="00197A7A"/>
    <w:rsid w:val="001A0074"/>
    <w:rsid w:val="001A0F7B"/>
    <w:rsid w:val="001A1131"/>
    <w:rsid w:val="001A226D"/>
    <w:rsid w:val="001A6644"/>
    <w:rsid w:val="001A6F81"/>
    <w:rsid w:val="001A7F28"/>
    <w:rsid w:val="001B0C9D"/>
    <w:rsid w:val="001B5AF8"/>
    <w:rsid w:val="001B5F93"/>
    <w:rsid w:val="001B6520"/>
    <w:rsid w:val="001B6936"/>
    <w:rsid w:val="001B75E2"/>
    <w:rsid w:val="001B7DB9"/>
    <w:rsid w:val="001C0CA5"/>
    <w:rsid w:val="001C12E8"/>
    <w:rsid w:val="001C2692"/>
    <w:rsid w:val="001C3C19"/>
    <w:rsid w:val="001C44E7"/>
    <w:rsid w:val="001C4867"/>
    <w:rsid w:val="001C516A"/>
    <w:rsid w:val="001C61C3"/>
    <w:rsid w:val="001C696A"/>
    <w:rsid w:val="001D0384"/>
    <w:rsid w:val="001D20E3"/>
    <w:rsid w:val="001D285F"/>
    <w:rsid w:val="001D3ADF"/>
    <w:rsid w:val="001D5457"/>
    <w:rsid w:val="001D6AF5"/>
    <w:rsid w:val="001D6ECF"/>
    <w:rsid w:val="001D7523"/>
    <w:rsid w:val="001D78ED"/>
    <w:rsid w:val="001E0061"/>
    <w:rsid w:val="001E1072"/>
    <w:rsid w:val="001E21E7"/>
    <w:rsid w:val="001E325A"/>
    <w:rsid w:val="001E3EA8"/>
    <w:rsid w:val="001E551F"/>
    <w:rsid w:val="001E6E6E"/>
    <w:rsid w:val="001E763D"/>
    <w:rsid w:val="001E7D42"/>
    <w:rsid w:val="001F1BE7"/>
    <w:rsid w:val="001F3C7D"/>
    <w:rsid w:val="001F68DE"/>
    <w:rsid w:val="00204E13"/>
    <w:rsid w:val="00205644"/>
    <w:rsid w:val="00205CCE"/>
    <w:rsid w:val="00207A05"/>
    <w:rsid w:val="00207FCF"/>
    <w:rsid w:val="00212E96"/>
    <w:rsid w:val="002137A1"/>
    <w:rsid w:val="00214170"/>
    <w:rsid w:val="00215FFC"/>
    <w:rsid w:val="00216A02"/>
    <w:rsid w:val="0021781D"/>
    <w:rsid w:val="00217B66"/>
    <w:rsid w:val="00217EA0"/>
    <w:rsid w:val="00220C8E"/>
    <w:rsid w:val="00221262"/>
    <w:rsid w:val="00221D81"/>
    <w:rsid w:val="00224031"/>
    <w:rsid w:val="00224741"/>
    <w:rsid w:val="00224CD2"/>
    <w:rsid w:val="00224D40"/>
    <w:rsid w:val="00224D6D"/>
    <w:rsid w:val="002266F1"/>
    <w:rsid w:val="00226B59"/>
    <w:rsid w:val="002311BD"/>
    <w:rsid w:val="002323D0"/>
    <w:rsid w:val="0023315D"/>
    <w:rsid w:val="00233524"/>
    <w:rsid w:val="00233956"/>
    <w:rsid w:val="002346CD"/>
    <w:rsid w:val="00235CFD"/>
    <w:rsid w:val="00236F35"/>
    <w:rsid w:val="00236F9D"/>
    <w:rsid w:val="00240AEF"/>
    <w:rsid w:val="0024397D"/>
    <w:rsid w:val="00243CAA"/>
    <w:rsid w:val="00244EDB"/>
    <w:rsid w:val="00247E65"/>
    <w:rsid w:val="002501A5"/>
    <w:rsid w:val="00252541"/>
    <w:rsid w:val="00254774"/>
    <w:rsid w:val="0025577D"/>
    <w:rsid w:val="00255CB4"/>
    <w:rsid w:val="0025607E"/>
    <w:rsid w:val="00256481"/>
    <w:rsid w:val="00260B5E"/>
    <w:rsid w:val="00261EA3"/>
    <w:rsid w:val="00263CA8"/>
    <w:rsid w:val="002643F3"/>
    <w:rsid w:val="0026448F"/>
    <w:rsid w:val="002660BC"/>
    <w:rsid w:val="00267042"/>
    <w:rsid w:val="00267FE2"/>
    <w:rsid w:val="0027020F"/>
    <w:rsid w:val="002707F7"/>
    <w:rsid w:val="00270B46"/>
    <w:rsid w:val="002721FA"/>
    <w:rsid w:val="002729B9"/>
    <w:rsid w:val="00272E1D"/>
    <w:rsid w:val="00273AA3"/>
    <w:rsid w:val="00275F5E"/>
    <w:rsid w:val="002764CB"/>
    <w:rsid w:val="0027673E"/>
    <w:rsid w:val="00277A52"/>
    <w:rsid w:val="00283CA8"/>
    <w:rsid w:val="00284AD9"/>
    <w:rsid w:val="00284E5C"/>
    <w:rsid w:val="00285752"/>
    <w:rsid w:val="002905D8"/>
    <w:rsid w:val="00292ECE"/>
    <w:rsid w:val="00294B1B"/>
    <w:rsid w:val="00294CA9"/>
    <w:rsid w:val="00295998"/>
    <w:rsid w:val="002969C3"/>
    <w:rsid w:val="002A2068"/>
    <w:rsid w:val="002A206F"/>
    <w:rsid w:val="002A2980"/>
    <w:rsid w:val="002A4896"/>
    <w:rsid w:val="002A49B8"/>
    <w:rsid w:val="002A4E8C"/>
    <w:rsid w:val="002A5179"/>
    <w:rsid w:val="002A57D8"/>
    <w:rsid w:val="002A5D07"/>
    <w:rsid w:val="002A7F30"/>
    <w:rsid w:val="002B7E87"/>
    <w:rsid w:val="002C12CE"/>
    <w:rsid w:val="002C155C"/>
    <w:rsid w:val="002C2FAB"/>
    <w:rsid w:val="002C3395"/>
    <w:rsid w:val="002C4269"/>
    <w:rsid w:val="002C451D"/>
    <w:rsid w:val="002C547E"/>
    <w:rsid w:val="002C5F73"/>
    <w:rsid w:val="002D1B12"/>
    <w:rsid w:val="002D34A9"/>
    <w:rsid w:val="002D478C"/>
    <w:rsid w:val="002E373E"/>
    <w:rsid w:val="002E6DCC"/>
    <w:rsid w:val="002E7287"/>
    <w:rsid w:val="002F00E3"/>
    <w:rsid w:val="002F2A9F"/>
    <w:rsid w:val="002F4183"/>
    <w:rsid w:val="002F475D"/>
    <w:rsid w:val="002F5272"/>
    <w:rsid w:val="002F664F"/>
    <w:rsid w:val="002F7A63"/>
    <w:rsid w:val="0030068B"/>
    <w:rsid w:val="00301CE1"/>
    <w:rsid w:val="00302737"/>
    <w:rsid w:val="003045F6"/>
    <w:rsid w:val="00304D73"/>
    <w:rsid w:val="00305182"/>
    <w:rsid w:val="003056D6"/>
    <w:rsid w:val="003067FD"/>
    <w:rsid w:val="00306E0A"/>
    <w:rsid w:val="003078A6"/>
    <w:rsid w:val="00312C1B"/>
    <w:rsid w:val="00314B0B"/>
    <w:rsid w:val="00316098"/>
    <w:rsid w:val="00316631"/>
    <w:rsid w:val="00316EE5"/>
    <w:rsid w:val="00320CE8"/>
    <w:rsid w:val="00321A46"/>
    <w:rsid w:val="00321BA2"/>
    <w:rsid w:val="003231B4"/>
    <w:rsid w:val="00323C70"/>
    <w:rsid w:val="0032477D"/>
    <w:rsid w:val="00325A27"/>
    <w:rsid w:val="003262D2"/>
    <w:rsid w:val="00327329"/>
    <w:rsid w:val="00327499"/>
    <w:rsid w:val="00327DDD"/>
    <w:rsid w:val="0033058A"/>
    <w:rsid w:val="00330AC7"/>
    <w:rsid w:val="0033195A"/>
    <w:rsid w:val="00332A82"/>
    <w:rsid w:val="003341E4"/>
    <w:rsid w:val="003350EA"/>
    <w:rsid w:val="003371DB"/>
    <w:rsid w:val="00341139"/>
    <w:rsid w:val="0034130D"/>
    <w:rsid w:val="0034133C"/>
    <w:rsid w:val="003416A3"/>
    <w:rsid w:val="00342143"/>
    <w:rsid w:val="0034477A"/>
    <w:rsid w:val="0034596B"/>
    <w:rsid w:val="00346C40"/>
    <w:rsid w:val="00346E81"/>
    <w:rsid w:val="003504FE"/>
    <w:rsid w:val="00351DF3"/>
    <w:rsid w:val="003521B8"/>
    <w:rsid w:val="00352316"/>
    <w:rsid w:val="003543C9"/>
    <w:rsid w:val="00354514"/>
    <w:rsid w:val="00354D52"/>
    <w:rsid w:val="003550DA"/>
    <w:rsid w:val="003553D6"/>
    <w:rsid w:val="003558E7"/>
    <w:rsid w:val="00357C5C"/>
    <w:rsid w:val="00361CC3"/>
    <w:rsid w:val="003636A4"/>
    <w:rsid w:val="003647EB"/>
    <w:rsid w:val="003648F4"/>
    <w:rsid w:val="00365CE8"/>
    <w:rsid w:val="00366ECC"/>
    <w:rsid w:val="00370741"/>
    <w:rsid w:val="0037146A"/>
    <w:rsid w:val="0037176A"/>
    <w:rsid w:val="00373410"/>
    <w:rsid w:val="00375479"/>
    <w:rsid w:val="0037664B"/>
    <w:rsid w:val="00380C4B"/>
    <w:rsid w:val="003814EF"/>
    <w:rsid w:val="00383267"/>
    <w:rsid w:val="00383DA8"/>
    <w:rsid w:val="00384394"/>
    <w:rsid w:val="00384469"/>
    <w:rsid w:val="00386142"/>
    <w:rsid w:val="00391218"/>
    <w:rsid w:val="00392557"/>
    <w:rsid w:val="00393270"/>
    <w:rsid w:val="00393D1A"/>
    <w:rsid w:val="00394D6A"/>
    <w:rsid w:val="00394F4A"/>
    <w:rsid w:val="003956F7"/>
    <w:rsid w:val="003958CF"/>
    <w:rsid w:val="00396613"/>
    <w:rsid w:val="003A05A0"/>
    <w:rsid w:val="003A05C5"/>
    <w:rsid w:val="003A13CA"/>
    <w:rsid w:val="003A1AB1"/>
    <w:rsid w:val="003A1AEA"/>
    <w:rsid w:val="003A20A5"/>
    <w:rsid w:val="003A231A"/>
    <w:rsid w:val="003A3022"/>
    <w:rsid w:val="003A34D5"/>
    <w:rsid w:val="003A35A7"/>
    <w:rsid w:val="003A3BED"/>
    <w:rsid w:val="003A3DFE"/>
    <w:rsid w:val="003A415B"/>
    <w:rsid w:val="003A4F83"/>
    <w:rsid w:val="003A5B2A"/>
    <w:rsid w:val="003A683D"/>
    <w:rsid w:val="003B2D3A"/>
    <w:rsid w:val="003B441D"/>
    <w:rsid w:val="003B47FF"/>
    <w:rsid w:val="003B66A4"/>
    <w:rsid w:val="003B7C61"/>
    <w:rsid w:val="003C0F81"/>
    <w:rsid w:val="003C0FDC"/>
    <w:rsid w:val="003C1628"/>
    <w:rsid w:val="003C2B1B"/>
    <w:rsid w:val="003C43EF"/>
    <w:rsid w:val="003C464D"/>
    <w:rsid w:val="003C4B53"/>
    <w:rsid w:val="003D20C4"/>
    <w:rsid w:val="003D4D5B"/>
    <w:rsid w:val="003D5D5B"/>
    <w:rsid w:val="003D72A1"/>
    <w:rsid w:val="003D76CD"/>
    <w:rsid w:val="003E0F35"/>
    <w:rsid w:val="003E14A9"/>
    <w:rsid w:val="003E22CB"/>
    <w:rsid w:val="003E258F"/>
    <w:rsid w:val="003E3694"/>
    <w:rsid w:val="003E3F93"/>
    <w:rsid w:val="003E44AF"/>
    <w:rsid w:val="003E4568"/>
    <w:rsid w:val="003E60F8"/>
    <w:rsid w:val="003F0F13"/>
    <w:rsid w:val="003F5F7A"/>
    <w:rsid w:val="003F7082"/>
    <w:rsid w:val="004000E2"/>
    <w:rsid w:val="00400274"/>
    <w:rsid w:val="00400B9A"/>
    <w:rsid w:val="00403D51"/>
    <w:rsid w:val="00413518"/>
    <w:rsid w:val="0041369A"/>
    <w:rsid w:val="00415345"/>
    <w:rsid w:val="00416FB6"/>
    <w:rsid w:val="00420AE6"/>
    <w:rsid w:val="0042286B"/>
    <w:rsid w:val="0043271A"/>
    <w:rsid w:val="00432796"/>
    <w:rsid w:val="00432EB4"/>
    <w:rsid w:val="00432F29"/>
    <w:rsid w:val="00434057"/>
    <w:rsid w:val="00435096"/>
    <w:rsid w:val="00435914"/>
    <w:rsid w:val="004377C6"/>
    <w:rsid w:val="0044241B"/>
    <w:rsid w:val="00443A29"/>
    <w:rsid w:val="004448CA"/>
    <w:rsid w:val="004468BC"/>
    <w:rsid w:val="00447517"/>
    <w:rsid w:val="00450760"/>
    <w:rsid w:val="00450FE7"/>
    <w:rsid w:val="00450FFE"/>
    <w:rsid w:val="00451AA9"/>
    <w:rsid w:val="0045211E"/>
    <w:rsid w:val="00452EC7"/>
    <w:rsid w:val="00453175"/>
    <w:rsid w:val="00453780"/>
    <w:rsid w:val="0045398A"/>
    <w:rsid w:val="00455495"/>
    <w:rsid w:val="0045785B"/>
    <w:rsid w:val="0046108D"/>
    <w:rsid w:val="00461270"/>
    <w:rsid w:val="00461A73"/>
    <w:rsid w:val="0046519F"/>
    <w:rsid w:val="004657FC"/>
    <w:rsid w:val="0046678C"/>
    <w:rsid w:val="0046760B"/>
    <w:rsid w:val="00467AD9"/>
    <w:rsid w:val="004702B9"/>
    <w:rsid w:val="00470BB5"/>
    <w:rsid w:val="004718FE"/>
    <w:rsid w:val="00474B58"/>
    <w:rsid w:val="00474C83"/>
    <w:rsid w:val="004800B4"/>
    <w:rsid w:val="004805E2"/>
    <w:rsid w:val="00480DA8"/>
    <w:rsid w:val="0048228F"/>
    <w:rsid w:val="00482850"/>
    <w:rsid w:val="004829FE"/>
    <w:rsid w:val="00483625"/>
    <w:rsid w:val="004854F8"/>
    <w:rsid w:val="0048572B"/>
    <w:rsid w:val="004871B3"/>
    <w:rsid w:val="00487807"/>
    <w:rsid w:val="00487944"/>
    <w:rsid w:val="00490153"/>
    <w:rsid w:val="00492522"/>
    <w:rsid w:val="00492CAF"/>
    <w:rsid w:val="00493805"/>
    <w:rsid w:val="00494561"/>
    <w:rsid w:val="00495F6A"/>
    <w:rsid w:val="00496E0E"/>
    <w:rsid w:val="004A1723"/>
    <w:rsid w:val="004A1D57"/>
    <w:rsid w:val="004A243B"/>
    <w:rsid w:val="004A2462"/>
    <w:rsid w:val="004A2A46"/>
    <w:rsid w:val="004A5050"/>
    <w:rsid w:val="004A7384"/>
    <w:rsid w:val="004A7843"/>
    <w:rsid w:val="004B35BC"/>
    <w:rsid w:val="004B3E8D"/>
    <w:rsid w:val="004B50AE"/>
    <w:rsid w:val="004B5691"/>
    <w:rsid w:val="004B6D92"/>
    <w:rsid w:val="004B757F"/>
    <w:rsid w:val="004C0183"/>
    <w:rsid w:val="004C0761"/>
    <w:rsid w:val="004C280F"/>
    <w:rsid w:val="004C3AFA"/>
    <w:rsid w:val="004C468D"/>
    <w:rsid w:val="004C554B"/>
    <w:rsid w:val="004C753E"/>
    <w:rsid w:val="004C7E89"/>
    <w:rsid w:val="004D3AE0"/>
    <w:rsid w:val="004D5110"/>
    <w:rsid w:val="004D7C50"/>
    <w:rsid w:val="004E06E9"/>
    <w:rsid w:val="004E2C11"/>
    <w:rsid w:val="004E2E25"/>
    <w:rsid w:val="004E304B"/>
    <w:rsid w:val="004F07E5"/>
    <w:rsid w:val="004F0D4F"/>
    <w:rsid w:val="004F0F57"/>
    <w:rsid w:val="004F2470"/>
    <w:rsid w:val="004F2D29"/>
    <w:rsid w:val="004F38B8"/>
    <w:rsid w:val="004F3BFA"/>
    <w:rsid w:val="004F3C75"/>
    <w:rsid w:val="004F7A38"/>
    <w:rsid w:val="0050137C"/>
    <w:rsid w:val="005014B6"/>
    <w:rsid w:val="0050199A"/>
    <w:rsid w:val="00502117"/>
    <w:rsid w:val="005038F5"/>
    <w:rsid w:val="00503EE0"/>
    <w:rsid w:val="00504EE0"/>
    <w:rsid w:val="0050535B"/>
    <w:rsid w:val="005074B6"/>
    <w:rsid w:val="005104BB"/>
    <w:rsid w:val="0051097B"/>
    <w:rsid w:val="0051120C"/>
    <w:rsid w:val="00511841"/>
    <w:rsid w:val="00515ECB"/>
    <w:rsid w:val="00520331"/>
    <w:rsid w:val="00521347"/>
    <w:rsid w:val="00521B6A"/>
    <w:rsid w:val="0052234D"/>
    <w:rsid w:val="00523217"/>
    <w:rsid w:val="0052597E"/>
    <w:rsid w:val="00526159"/>
    <w:rsid w:val="00527D19"/>
    <w:rsid w:val="00530312"/>
    <w:rsid w:val="00530783"/>
    <w:rsid w:val="00532A09"/>
    <w:rsid w:val="00534438"/>
    <w:rsid w:val="00534D2C"/>
    <w:rsid w:val="00536B89"/>
    <w:rsid w:val="00536CE1"/>
    <w:rsid w:val="00537533"/>
    <w:rsid w:val="005401AF"/>
    <w:rsid w:val="00540586"/>
    <w:rsid w:val="005417CD"/>
    <w:rsid w:val="00542D7E"/>
    <w:rsid w:val="005438C6"/>
    <w:rsid w:val="00551421"/>
    <w:rsid w:val="005515F3"/>
    <w:rsid w:val="005535E3"/>
    <w:rsid w:val="00554930"/>
    <w:rsid w:val="00554CC3"/>
    <w:rsid w:val="0055531D"/>
    <w:rsid w:val="00556A53"/>
    <w:rsid w:val="005578DD"/>
    <w:rsid w:val="00557BF4"/>
    <w:rsid w:val="005607C4"/>
    <w:rsid w:val="00560DD5"/>
    <w:rsid w:val="00563F02"/>
    <w:rsid w:val="0056434A"/>
    <w:rsid w:val="005660B4"/>
    <w:rsid w:val="0056695E"/>
    <w:rsid w:val="00570790"/>
    <w:rsid w:val="005720BF"/>
    <w:rsid w:val="00572D8A"/>
    <w:rsid w:val="00572E71"/>
    <w:rsid w:val="005736E3"/>
    <w:rsid w:val="00575829"/>
    <w:rsid w:val="005803CD"/>
    <w:rsid w:val="005816FC"/>
    <w:rsid w:val="00581869"/>
    <w:rsid w:val="00583B84"/>
    <w:rsid w:val="0058430F"/>
    <w:rsid w:val="00584916"/>
    <w:rsid w:val="00584C2C"/>
    <w:rsid w:val="005856C6"/>
    <w:rsid w:val="005861B6"/>
    <w:rsid w:val="00593262"/>
    <w:rsid w:val="005943CB"/>
    <w:rsid w:val="00594456"/>
    <w:rsid w:val="00594D9A"/>
    <w:rsid w:val="005A031D"/>
    <w:rsid w:val="005A06D4"/>
    <w:rsid w:val="005A185B"/>
    <w:rsid w:val="005A2798"/>
    <w:rsid w:val="005A3617"/>
    <w:rsid w:val="005A384F"/>
    <w:rsid w:val="005A3B70"/>
    <w:rsid w:val="005A56A4"/>
    <w:rsid w:val="005A6341"/>
    <w:rsid w:val="005A6511"/>
    <w:rsid w:val="005A6D6E"/>
    <w:rsid w:val="005A6EB7"/>
    <w:rsid w:val="005A7B5B"/>
    <w:rsid w:val="005B0939"/>
    <w:rsid w:val="005B3518"/>
    <w:rsid w:val="005B3F0E"/>
    <w:rsid w:val="005B41CA"/>
    <w:rsid w:val="005B71FB"/>
    <w:rsid w:val="005B7CD6"/>
    <w:rsid w:val="005C1A32"/>
    <w:rsid w:val="005C1B2E"/>
    <w:rsid w:val="005D0D3F"/>
    <w:rsid w:val="005D112C"/>
    <w:rsid w:val="005D1834"/>
    <w:rsid w:val="005D28B7"/>
    <w:rsid w:val="005D53B6"/>
    <w:rsid w:val="005D550A"/>
    <w:rsid w:val="005D6D7E"/>
    <w:rsid w:val="005D725E"/>
    <w:rsid w:val="005E1258"/>
    <w:rsid w:val="005E557E"/>
    <w:rsid w:val="005E5820"/>
    <w:rsid w:val="005E624A"/>
    <w:rsid w:val="005E627C"/>
    <w:rsid w:val="005F324E"/>
    <w:rsid w:val="005F3F14"/>
    <w:rsid w:val="005F4B6C"/>
    <w:rsid w:val="005F4E97"/>
    <w:rsid w:val="005F6F31"/>
    <w:rsid w:val="005F7D60"/>
    <w:rsid w:val="00601936"/>
    <w:rsid w:val="0060228B"/>
    <w:rsid w:val="00604858"/>
    <w:rsid w:val="00604E02"/>
    <w:rsid w:val="006050EE"/>
    <w:rsid w:val="006051A3"/>
    <w:rsid w:val="006053DE"/>
    <w:rsid w:val="0060618D"/>
    <w:rsid w:val="006105AB"/>
    <w:rsid w:val="00611099"/>
    <w:rsid w:val="006111A4"/>
    <w:rsid w:val="00612D8D"/>
    <w:rsid w:val="0061472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656"/>
    <w:rsid w:val="00635C86"/>
    <w:rsid w:val="00636EAC"/>
    <w:rsid w:val="00637636"/>
    <w:rsid w:val="00644A8B"/>
    <w:rsid w:val="00647D86"/>
    <w:rsid w:val="00651567"/>
    <w:rsid w:val="00652006"/>
    <w:rsid w:val="0065246C"/>
    <w:rsid w:val="00654F5C"/>
    <w:rsid w:val="0065549B"/>
    <w:rsid w:val="006559C8"/>
    <w:rsid w:val="006622D6"/>
    <w:rsid w:val="0066243E"/>
    <w:rsid w:val="006651FC"/>
    <w:rsid w:val="00665241"/>
    <w:rsid w:val="00665277"/>
    <w:rsid w:val="006655A4"/>
    <w:rsid w:val="006664DF"/>
    <w:rsid w:val="00667719"/>
    <w:rsid w:val="00670ACB"/>
    <w:rsid w:val="00671C60"/>
    <w:rsid w:val="00672E7A"/>
    <w:rsid w:val="006736ED"/>
    <w:rsid w:val="00673DC6"/>
    <w:rsid w:val="00674C23"/>
    <w:rsid w:val="00675241"/>
    <w:rsid w:val="00676FF0"/>
    <w:rsid w:val="00677C85"/>
    <w:rsid w:val="00680748"/>
    <w:rsid w:val="00680AF7"/>
    <w:rsid w:val="00681C94"/>
    <w:rsid w:val="00681CD4"/>
    <w:rsid w:val="006827E4"/>
    <w:rsid w:val="00683E42"/>
    <w:rsid w:val="006851AB"/>
    <w:rsid w:val="006867F9"/>
    <w:rsid w:val="00686948"/>
    <w:rsid w:val="00691CC4"/>
    <w:rsid w:val="0069273F"/>
    <w:rsid w:val="00693BED"/>
    <w:rsid w:val="006942F4"/>
    <w:rsid w:val="006950B9"/>
    <w:rsid w:val="00695779"/>
    <w:rsid w:val="00695965"/>
    <w:rsid w:val="006960B5"/>
    <w:rsid w:val="00696C2C"/>
    <w:rsid w:val="006A1B9F"/>
    <w:rsid w:val="006A3251"/>
    <w:rsid w:val="006A3E2C"/>
    <w:rsid w:val="006A433C"/>
    <w:rsid w:val="006A5CF6"/>
    <w:rsid w:val="006A7ACB"/>
    <w:rsid w:val="006A7B8B"/>
    <w:rsid w:val="006B04CE"/>
    <w:rsid w:val="006B17E1"/>
    <w:rsid w:val="006B1FCA"/>
    <w:rsid w:val="006B2D0E"/>
    <w:rsid w:val="006B3540"/>
    <w:rsid w:val="006B4C68"/>
    <w:rsid w:val="006B53E2"/>
    <w:rsid w:val="006B5478"/>
    <w:rsid w:val="006B7673"/>
    <w:rsid w:val="006C0080"/>
    <w:rsid w:val="006C14C3"/>
    <w:rsid w:val="006C1C1B"/>
    <w:rsid w:val="006C1DD6"/>
    <w:rsid w:val="006C3318"/>
    <w:rsid w:val="006C3518"/>
    <w:rsid w:val="006C3FD7"/>
    <w:rsid w:val="006C44E9"/>
    <w:rsid w:val="006C4C77"/>
    <w:rsid w:val="006C52E0"/>
    <w:rsid w:val="006C7539"/>
    <w:rsid w:val="006D1BF1"/>
    <w:rsid w:val="006D34BA"/>
    <w:rsid w:val="006D3FDB"/>
    <w:rsid w:val="006D658C"/>
    <w:rsid w:val="006E05BA"/>
    <w:rsid w:val="006E18CB"/>
    <w:rsid w:val="006E282A"/>
    <w:rsid w:val="006E3482"/>
    <w:rsid w:val="006E4DEC"/>
    <w:rsid w:val="006E59B8"/>
    <w:rsid w:val="006E5F96"/>
    <w:rsid w:val="006E6627"/>
    <w:rsid w:val="006E67EA"/>
    <w:rsid w:val="006F015D"/>
    <w:rsid w:val="006F0A51"/>
    <w:rsid w:val="006F255E"/>
    <w:rsid w:val="006F354E"/>
    <w:rsid w:val="006F3D64"/>
    <w:rsid w:val="006F524C"/>
    <w:rsid w:val="006F5D4E"/>
    <w:rsid w:val="006F647A"/>
    <w:rsid w:val="006F746C"/>
    <w:rsid w:val="006F7A4C"/>
    <w:rsid w:val="00702AC5"/>
    <w:rsid w:val="00703106"/>
    <w:rsid w:val="0070429F"/>
    <w:rsid w:val="00704FE4"/>
    <w:rsid w:val="00705DFE"/>
    <w:rsid w:val="00710688"/>
    <w:rsid w:val="00713DB8"/>
    <w:rsid w:val="00715B36"/>
    <w:rsid w:val="007164AA"/>
    <w:rsid w:val="007164CC"/>
    <w:rsid w:val="007172F1"/>
    <w:rsid w:val="00720AF1"/>
    <w:rsid w:val="00720EDD"/>
    <w:rsid w:val="00721618"/>
    <w:rsid w:val="00721F36"/>
    <w:rsid w:val="00722B5D"/>
    <w:rsid w:val="00725EA1"/>
    <w:rsid w:val="00726A4A"/>
    <w:rsid w:val="007333B9"/>
    <w:rsid w:val="0073427D"/>
    <w:rsid w:val="007346FE"/>
    <w:rsid w:val="00736225"/>
    <w:rsid w:val="007412C3"/>
    <w:rsid w:val="0074344B"/>
    <w:rsid w:val="00745E9A"/>
    <w:rsid w:val="0074623A"/>
    <w:rsid w:val="00750EA1"/>
    <w:rsid w:val="00751683"/>
    <w:rsid w:val="00752484"/>
    <w:rsid w:val="00754E21"/>
    <w:rsid w:val="007577DC"/>
    <w:rsid w:val="0076214F"/>
    <w:rsid w:val="00764377"/>
    <w:rsid w:val="007649B9"/>
    <w:rsid w:val="007678AA"/>
    <w:rsid w:val="00767BB1"/>
    <w:rsid w:val="00771668"/>
    <w:rsid w:val="00771A76"/>
    <w:rsid w:val="00772BE1"/>
    <w:rsid w:val="007730F1"/>
    <w:rsid w:val="007737B6"/>
    <w:rsid w:val="00774892"/>
    <w:rsid w:val="00774F22"/>
    <w:rsid w:val="007820A0"/>
    <w:rsid w:val="00782307"/>
    <w:rsid w:val="00782F74"/>
    <w:rsid w:val="00783551"/>
    <w:rsid w:val="00784F23"/>
    <w:rsid w:val="007851FC"/>
    <w:rsid w:val="0078560A"/>
    <w:rsid w:val="00785BF8"/>
    <w:rsid w:val="0078629D"/>
    <w:rsid w:val="0078649C"/>
    <w:rsid w:val="00787012"/>
    <w:rsid w:val="00787544"/>
    <w:rsid w:val="00790CB6"/>
    <w:rsid w:val="00791DCE"/>
    <w:rsid w:val="0079226E"/>
    <w:rsid w:val="00793C28"/>
    <w:rsid w:val="00793C8D"/>
    <w:rsid w:val="00794935"/>
    <w:rsid w:val="007A05ED"/>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4A78"/>
    <w:rsid w:val="007C62EF"/>
    <w:rsid w:val="007C709C"/>
    <w:rsid w:val="007D00A7"/>
    <w:rsid w:val="007D0172"/>
    <w:rsid w:val="007D0F81"/>
    <w:rsid w:val="007D407D"/>
    <w:rsid w:val="007D4512"/>
    <w:rsid w:val="007D670D"/>
    <w:rsid w:val="007D7796"/>
    <w:rsid w:val="007D7EA9"/>
    <w:rsid w:val="007E3F10"/>
    <w:rsid w:val="007E452B"/>
    <w:rsid w:val="007E7D06"/>
    <w:rsid w:val="007F0813"/>
    <w:rsid w:val="007F0D98"/>
    <w:rsid w:val="007F1CE6"/>
    <w:rsid w:val="007F2E0A"/>
    <w:rsid w:val="007F4762"/>
    <w:rsid w:val="007F7CEF"/>
    <w:rsid w:val="00802DDE"/>
    <w:rsid w:val="008032DD"/>
    <w:rsid w:val="0080372E"/>
    <w:rsid w:val="0080435B"/>
    <w:rsid w:val="00804BBD"/>
    <w:rsid w:val="00804FD8"/>
    <w:rsid w:val="008052B0"/>
    <w:rsid w:val="0080535D"/>
    <w:rsid w:val="00805D85"/>
    <w:rsid w:val="00806546"/>
    <w:rsid w:val="0080687F"/>
    <w:rsid w:val="00810DB9"/>
    <w:rsid w:val="008138BD"/>
    <w:rsid w:val="00813965"/>
    <w:rsid w:val="00813FDE"/>
    <w:rsid w:val="008147E7"/>
    <w:rsid w:val="00814A8E"/>
    <w:rsid w:val="00817315"/>
    <w:rsid w:val="00817BC9"/>
    <w:rsid w:val="0082146C"/>
    <w:rsid w:val="008217FB"/>
    <w:rsid w:val="00822079"/>
    <w:rsid w:val="008225C9"/>
    <w:rsid w:val="00822631"/>
    <w:rsid w:val="00823554"/>
    <w:rsid w:val="00824CBF"/>
    <w:rsid w:val="00826653"/>
    <w:rsid w:val="00827DE9"/>
    <w:rsid w:val="00830340"/>
    <w:rsid w:val="00830CEF"/>
    <w:rsid w:val="008355DC"/>
    <w:rsid w:val="00840603"/>
    <w:rsid w:val="00841729"/>
    <w:rsid w:val="008425D0"/>
    <w:rsid w:val="0084334C"/>
    <w:rsid w:val="00843642"/>
    <w:rsid w:val="00843E58"/>
    <w:rsid w:val="0084478E"/>
    <w:rsid w:val="00844A61"/>
    <w:rsid w:val="0084515C"/>
    <w:rsid w:val="00851368"/>
    <w:rsid w:val="00852869"/>
    <w:rsid w:val="00854867"/>
    <w:rsid w:val="00856274"/>
    <w:rsid w:val="00856558"/>
    <w:rsid w:val="00856DB6"/>
    <w:rsid w:val="008572F7"/>
    <w:rsid w:val="008573DE"/>
    <w:rsid w:val="00857F56"/>
    <w:rsid w:val="0086024D"/>
    <w:rsid w:val="00860487"/>
    <w:rsid w:val="008606E9"/>
    <w:rsid w:val="008613B8"/>
    <w:rsid w:val="0086339E"/>
    <w:rsid w:val="00864921"/>
    <w:rsid w:val="00866863"/>
    <w:rsid w:val="0086736A"/>
    <w:rsid w:val="008674B6"/>
    <w:rsid w:val="008676F3"/>
    <w:rsid w:val="00871F8E"/>
    <w:rsid w:val="00872276"/>
    <w:rsid w:val="008730EF"/>
    <w:rsid w:val="0087398E"/>
    <w:rsid w:val="00873F89"/>
    <w:rsid w:val="00876268"/>
    <w:rsid w:val="008767E4"/>
    <w:rsid w:val="0087683D"/>
    <w:rsid w:val="00881271"/>
    <w:rsid w:val="0088260B"/>
    <w:rsid w:val="00882C99"/>
    <w:rsid w:val="00886EAD"/>
    <w:rsid w:val="008871BE"/>
    <w:rsid w:val="00887F56"/>
    <w:rsid w:val="008909A1"/>
    <w:rsid w:val="00890DB2"/>
    <w:rsid w:val="0089240C"/>
    <w:rsid w:val="00892B7E"/>
    <w:rsid w:val="008933E1"/>
    <w:rsid w:val="00895AF0"/>
    <w:rsid w:val="00895C97"/>
    <w:rsid w:val="0089639D"/>
    <w:rsid w:val="00896D79"/>
    <w:rsid w:val="00897D59"/>
    <w:rsid w:val="008A005F"/>
    <w:rsid w:val="008A159B"/>
    <w:rsid w:val="008A2852"/>
    <w:rsid w:val="008A401F"/>
    <w:rsid w:val="008A5936"/>
    <w:rsid w:val="008A689A"/>
    <w:rsid w:val="008A6E06"/>
    <w:rsid w:val="008A7121"/>
    <w:rsid w:val="008B2D5E"/>
    <w:rsid w:val="008B37DF"/>
    <w:rsid w:val="008B564C"/>
    <w:rsid w:val="008B6AC5"/>
    <w:rsid w:val="008C0CA6"/>
    <w:rsid w:val="008C1CF8"/>
    <w:rsid w:val="008C3587"/>
    <w:rsid w:val="008C45E1"/>
    <w:rsid w:val="008C4F77"/>
    <w:rsid w:val="008C7BEF"/>
    <w:rsid w:val="008D11E6"/>
    <w:rsid w:val="008D1F80"/>
    <w:rsid w:val="008D3839"/>
    <w:rsid w:val="008D4015"/>
    <w:rsid w:val="008D4571"/>
    <w:rsid w:val="008D4DCD"/>
    <w:rsid w:val="008D4E10"/>
    <w:rsid w:val="008D5677"/>
    <w:rsid w:val="008D632B"/>
    <w:rsid w:val="008D6489"/>
    <w:rsid w:val="008D7010"/>
    <w:rsid w:val="008D7F12"/>
    <w:rsid w:val="008E0238"/>
    <w:rsid w:val="008E1598"/>
    <w:rsid w:val="008E4093"/>
    <w:rsid w:val="008E4468"/>
    <w:rsid w:val="008E44E1"/>
    <w:rsid w:val="008E4DEC"/>
    <w:rsid w:val="008E4F2B"/>
    <w:rsid w:val="008E55AE"/>
    <w:rsid w:val="008E6929"/>
    <w:rsid w:val="008E69BF"/>
    <w:rsid w:val="008E7DE7"/>
    <w:rsid w:val="008F1EF5"/>
    <w:rsid w:val="008F27CE"/>
    <w:rsid w:val="008F38C7"/>
    <w:rsid w:val="008F3C4D"/>
    <w:rsid w:val="008F52D9"/>
    <w:rsid w:val="008F7293"/>
    <w:rsid w:val="009002A5"/>
    <w:rsid w:val="00900C1A"/>
    <w:rsid w:val="0090510C"/>
    <w:rsid w:val="009052FB"/>
    <w:rsid w:val="009070F0"/>
    <w:rsid w:val="00907D17"/>
    <w:rsid w:val="00910F15"/>
    <w:rsid w:val="009112D0"/>
    <w:rsid w:val="009156A1"/>
    <w:rsid w:val="00915EEF"/>
    <w:rsid w:val="0091625B"/>
    <w:rsid w:val="009170F7"/>
    <w:rsid w:val="0092021A"/>
    <w:rsid w:val="00920686"/>
    <w:rsid w:val="00920DAC"/>
    <w:rsid w:val="00921681"/>
    <w:rsid w:val="00921962"/>
    <w:rsid w:val="00922425"/>
    <w:rsid w:val="00922969"/>
    <w:rsid w:val="00926242"/>
    <w:rsid w:val="009273EC"/>
    <w:rsid w:val="009320FA"/>
    <w:rsid w:val="009367E2"/>
    <w:rsid w:val="00937661"/>
    <w:rsid w:val="00937F69"/>
    <w:rsid w:val="0094223C"/>
    <w:rsid w:val="00942F2E"/>
    <w:rsid w:val="00944D08"/>
    <w:rsid w:val="00945544"/>
    <w:rsid w:val="00945A9B"/>
    <w:rsid w:val="00945C87"/>
    <w:rsid w:val="00950718"/>
    <w:rsid w:val="009509E9"/>
    <w:rsid w:val="00950C03"/>
    <w:rsid w:val="009523EE"/>
    <w:rsid w:val="009525E5"/>
    <w:rsid w:val="00952A72"/>
    <w:rsid w:val="00955FBB"/>
    <w:rsid w:val="00956692"/>
    <w:rsid w:val="00957DF4"/>
    <w:rsid w:val="00960C1E"/>
    <w:rsid w:val="00960E2D"/>
    <w:rsid w:val="009620B8"/>
    <w:rsid w:val="009623C7"/>
    <w:rsid w:val="00964535"/>
    <w:rsid w:val="00966717"/>
    <w:rsid w:val="00967DEB"/>
    <w:rsid w:val="00970349"/>
    <w:rsid w:val="009704E5"/>
    <w:rsid w:val="009707C5"/>
    <w:rsid w:val="00970E29"/>
    <w:rsid w:val="009735E6"/>
    <w:rsid w:val="00973B58"/>
    <w:rsid w:val="00973DB7"/>
    <w:rsid w:val="009745FE"/>
    <w:rsid w:val="00975B3E"/>
    <w:rsid w:val="00975EE0"/>
    <w:rsid w:val="00976110"/>
    <w:rsid w:val="00977A94"/>
    <w:rsid w:val="009813A9"/>
    <w:rsid w:val="009815CD"/>
    <w:rsid w:val="00981EAD"/>
    <w:rsid w:val="00981EBA"/>
    <w:rsid w:val="0098234D"/>
    <w:rsid w:val="0098301A"/>
    <w:rsid w:val="0098539A"/>
    <w:rsid w:val="0098781B"/>
    <w:rsid w:val="0099006D"/>
    <w:rsid w:val="00994EB9"/>
    <w:rsid w:val="009958E8"/>
    <w:rsid w:val="00995920"/>
    <w:rsid w:val="00996B5E"/>
    <w:rsid w:val="009A2FD9"/>
    <w:rsid w:val="009A38B6"/>
    <w:rsid w:val="009A59F3"/>
    <w:rsid w:val="009A68A0"/>
    <w:rsid w:val="009B19C1"/>
    <w:rsid w:val="009B202B"/>
    <w:rsid w:val="009B3B58"/>
    <w:rsid w:val="009B3C01"/>
    <w:rsid w:val="009B42BB"/>
    <w:rsid w:val="009B5E8F"/>
    <w:rsid w:val="009B6C74"/>
    <w:rsid w:val="009B73F1"/>
    <w:rsid w:val="009C2327"/>
    <w:rsid w:val="009C6626"/>
    <w:rsid w:val="009C72D3"/>
    <w:rsid w:val="009C7430"/>
    <w:rsid w:val="009D05DF"/>
    <w:rsid w:val="009D1AE9"/>
    <w:rsid w:val="009D2206"/>
    <w:rsid w:val="009D325B"/>
    <w:rsid w:val="009D36DA"/>
    <w:rsid w:val="009D3AB2"/>
    <w:rsid w:val="009D3BAC"/>
    <w:rsid w:val="009D4FE9"/>
    <w:rsid w:val="009D594F"/>
    <w:rsid w:val="009D624F"/>
    <w:rsid w:val="009D694A"/>
    <w:rsid w:val="009D7C9A"/>
    <w:rsid w:val="009E0C7F"/>
    <w:rsid w:val="009E1997"/>
    <w:rsid w:val="009E1BDF"/>
    <w:rsid w:val="009E4092"/>
    <w:rsid w:val="009E431C"/>
    <w:rsid w:val="009E65DD"/>
    <w:rsid w:val="009E7821"/>
    <w:rsid w:val="009F1D78"/>
    <w:rsid w:val="009F2DBE"/>
    <w:rsid w:val="009F3CD6"/>
    <w:rsid w:val="009F5289"/>
    <w:rsid w:val="009F5514"/>
    <w:rsid w:val="009F665C"/>
    <w:rsid w:val="00A0023F"/>
    <w:rsid w:val="00A015E5"/>
    <w:rsid w:val="00A01856"/>
    <w:rsid w:val="00A06651"/>
    <w:rsid w:val="00A07979"/>
    <w:rsid w:val="00A12814"/>
    <w:rsid w:val="00A12E1E"/>
    <w:rsid w:val="00A13688"/>
    <w:rsid w:val="00A1423C"/>
    <w:rsid w:val="00A15540"/>
    <w:rsid w:val="00A2102A"/>
    <w:rsid w:val="00A21160"/>
    <w:rsid w:val="00A216AA"/>
    <w:rsid w:val="00A2183E"/>
    <w:rsid w:val="00A2308A"/>
    <w:rsid w:val="00A236E1"/>
    <w:rsid w:val="00A253DC"/>
    <w:rsid w:val="00A25BCB"/>
    <w:rsid w:val="00A265CE"/>
    <w:rsid w:val="00A267E9"/>
    <w:rsid w:val="00A27319"/>
    <w:rsid w:val="00A30A91"/>
    <w:rsid w:val="00A3295F"/>
    <w:rsid w:val="00A33D1E"/>
    <w:rsid w:val="00A34D46"/>
    <w:rsid w:val="00A35162"/>
    <w:rsid w:val="00A363B6"/>
    <w:rsid w:val="00A369A6"/>
    <w:rsid w:val="00A40368"/>
    <w:rsid w:val="00A40B7C"/>
    <w:rsid w:val="00A42A24"/>
    <w:rsid w:val="00A42C4C"/>
    <w:rsid w:val="00A43EB7"/>
    <w:rsid w:val="00A447F0"/>
    <w:rsid w:val="00A44FDC"/>
    <w:rsid w:val="00A45FEF"/>
    <w:rsid w:val="00A46434"/>
    <w:rsid w:val="00A464AC"/>
    <w:rsid w:val="00A5008B"/>
    <w:rsid w:val="00A5173B"/>
    <w:rsid w:val="00A53367"/>
    <w:rsid w:val="00A56195"/>
    <w:rsid w:val="00A56364"/>
    <w:rsid w:val="00A5765C"/>
    <w:rsid w:val="00A60422"/>
    <w:rsid w:val="00A63158"/>
    <w:rsid w:val="00A6348D"/>
    <w:rsid w:val="00A64DFC"/>
    <w:rsid w:val="00A71AA8"/>
    <w:rsid w:val="00A724BA"/>
    <w:rsid w:val="00A7382F"/>
    <w:rsid w:val="00A73B8C"/>
    <w:rsid w:val="00A75277"/>
    <w:rsid w:val="00A752FE"/>
    <w:rsid w:val="00A80664"/>
    <w:rsid w:val="00A810AB"/>
    <w:rsid w:val="00A82FE0"/>
    <w:rsid w:val="00A8431B"/>
    <w:rsid w:val="00A8482E"/>
    <w:rsid w:val="00A84C96"/>
    <w:rsid w:val="00A84F27"/>
    <w:rsid w:val="00A85CAB"/>
    <w:rsid w:val="00A86D92"/>
    <w:rsid w:val="00A87560"/>
    <w:rsid w:val="00A91ABA"/>
    <w:rsid w:val="00A91BE5"/>
    <w:rsid w:val="00A93BA2"/>
    <w:rsid w:val="00A9535D"/>
    <w:rsid w:val="00A97002"/>
    <w:rsid w:val="00A97A29"/>
    <w:rsid w:val="00A97EE2"/>
    <w:rsid w:val="00AA0A98"/>
    <w:rsid w:val="00AA2025"/>
    <w:rsid w:val="00AA2334"/>
    <w:rsid w:val="00AA598D"/>
    <w:rsid w:val="00AA5AE7"/>
    <w:rsid w:val="00AA6325"/>
    <w:rsid w:val="00AA7092"/>
    <w:rsid w:val="00AA78DC"/>
    <w:rsid w:val="00AB041C"/>
    <w:rsid w:val="00AB1270"/>
    <w:rsid w:val="00AB222D"/>
    <w:rsid w:val="00AB664E"/>
    <w:rsid w:val="00AB7948"/>
    <w:rsid w:val="00AB7E17"/>
    <w:rsid w:val="00AC039F"/>
    <w:rsid w:val="00AC18F8"/>
    <w:rsid w:val="00AC5877"/>
    <w:rsid w:val="00AC679B"/>
    <w:rsid w:val="00AD287A"/>
    <w:rsid w:val="00AD3E82"/>
    <w:rsid w:val="00AD4328"/>
    <w:rsid w:val="00AD5C3A"/>
    <w:rsid w:val="00AD6239"/>
    <w:rsid w:val="00AD6388"/>
    <w:rsid w:val="00AD656D"/>
    <w:rsid w:val="00AD75A9"/>
    <w:rsid w:val="00AD777E"/>
    <w:rsid w:val="00AD7899"/>
    <w:rsid w:val="00AD7D57"/>
    <w:rsid w:val="00AD7E03"/>
    <w:rsid w:val="00AD7F25"/>
    <w:rsid w:val="00AE1D27"/>
    <w:rsid w:val="00AE224C"/>
    <w:rsid w:val="00AE3650"/>
    <w:rsid w:val="00AE4853"/>
    <w:rsid w:val="00AE5B27"/>
    <w:rsid w:val="00AE6801"/>
    <w:rsid w:val="00AE6E53"/>
    <w:rsid w:val="00AE7F90"/>
    <w:rsid w:val="00AF0EAF"/>
    <w:rsid w:val="00AF1268"/>
    <w:rsid w:val="00AF1352"/>
    <w:rsid w:val="00AF1CA3"/>
    <w:rsid w:val="00AF1CEF"/>
    <w:rsid w:val="00AF1E47"/>
    <w:rsid w:val="00AF5886"/>
    <w:rsid w:val="00AF6977"/>
    <w:rsid w:val="00AF738F"/>
    <w:rsid w:val="00B002C6"/>
    <w:rsid w:val="00B007CA"/>
    <w:rsid w:val="00B01222"/>
    <w:rsid w:val="00B0187F"/>
    <w:rsid w:val="00B041F4"/>
    <w:rsid w:val="00B04BD3"/>
    <w:rsid w:val="00B06640"/>
    <w:rsid w:val="00B070CE"/>
    <w:rsid w:val="00B12107"/>
    <w:rsid w:val="00B1267E"/>
    <w:rsid w:val="00B12832"/>
    <w:rsid w:val="00B128B5"/>
    <w:rsid w:val="00B1307E"/>
    <w:rsid w:val="00B14EA7"/>
    <w:rsid w:val="00B15FE4"/>
    <w:rsid w:val="00B16275"/>
    <w:rsid w:val="00B21369"/>
    <w:rsid w:val="00B22721"/>
    <w:rsid w:val="00B22F49"/>
    <w:rsid w:val="00B24A61"/>
    <w:rsid w:val="00B25B82"/>
    <w:rsid w:val="00B26F08"/>
    <w:rsid w:val="00B33732"/>
    <w:rsid w:val="00B33834"/>
    <w:rsid w:val="00B36132"/>
    <w:rsid w:val="00B366A0"/>
    <w:rsid w:val="00B40834"/>
    <w:rsid w:val="00B40C82"/>
    <w:rsid w:val="00B42F80"/>
    <w:rsid w:val="00B43141"/>
    <w:rsid w:val="00B458D2"/>
    <w:rsid w:val="00B477AA"/>
    <w:rsid w:val="00B56925"/>
    <w:rsid w:val="00B57E44"/>
    <w:rsid w:val="00B62912"/>
    <w:rsid w:val="00B72880"/>
    <w:rsid w:val="00B73637"/>
    <w:rsid w:val="00B73A39"/>
    <w:rsid w:val="00B73A57"/>
    <w:rsid w:val="00B73B91"/>
    <w:rsid w:val="00B77597"/>
    <w:rsid w:val="00B775A7"/>
    <w:rsid w:val="00B80D86"/>
    <w:rsid w:val="00B8119C"/>
    <w:rsid w:val="00B81535"/>
    <w:rsid w:val="00B835EA"/>
    <w:rsid w:val="00B839C8"/>
    <w:rsid w:val="00B86009"/>
    <w:rsid w:val="00B87DD9"/>
    <w:rsid w:val="00B9132B"/>
    <w:rsid w:val="00B92720"/>
    <w:rsid w:val="00B92AD3"/>
    <w:rsid w:val="00B94097"/>
    <w:rsid w:val="00B96275"/>
    <w:rsid w:val="00B97B96"/>
    <w:rsid w:val="00BA0926"/>
    <w:rsid w:val="00BA19EA"/>
    <w:rsid w:val="00BA2F73"/>
    <w:rsid w:val="00BA329C"/>
    <w:rsid w:val="00BA38CD"/>
    <w:rsid w:val="00BA3E6D"/>
    <w:rsid w:val="00BA48F6"/>
    <w:rsid w:val="00BA7C08"/>
    <w:rsid w:val="00BB151C"/>
    <w:rsid w:val="00BB1A88"/>
    <w:rsid w:val="00BB1B23"/>
    <w:rsid w:val="00BB1F27"/>
    <w:rsid w:val="00BB30AB"/>
    <w:rsid w:val="00BB557E"/>
    <w:rsid w:val="00BB62A9"/>
    <w:rsid w:val="00BB7CA0"/>
    <w:rsid w:val="00BC14C9"/>
    <w:rsid w:val="00BC1F4C"/>
    <w:rsid w:val="00BC3EDC"/>
    <w:rsid w:val="00BC5D8D"/>
    <w:rsid w:val="00BC6403"/>
    <w:rsid w:val="00BD030B"/>
    <w:rsid w:val="00BD0F4E"/>
    <w:rsid w:val="00BD2469"/>
    <w:rsid w:val="00BD3554"/>
    <w:rsid w:val="00BD3719"/>
    <w:rsid w:val="00BD3C18"/>
    <w:rsid w:val="00BD4FFF"/>
    <w:rsid w:val="00BD6424"/>
    <w:rsid w:val="00BD69F5"/>
    <w:rsid w:val="00BD7B4D"/>
    <w:rsid w:val="00BE1B04"/>
    <w:rsid w:val="00BE1DCB"/>
    <w:rsid w:val="00BE42B5"/>
    <w:rsid w:val="00BE4709"/>
    <w:rsid w:val="00BF06D9"/>
    <w:rsid w:val="00BF0A87"/>
    <w:rsid w:val="00BF1407"/>
    <w:rsid w:val="00BF25A0"/>
    <w:rsid w:val="00BF2649"/>
    <w:rsid w:val="00BF2D1A"/>
    <w:rsid w:val="00BF5B0D"/>
    <w:rsid w:val="00BF7A8C"/>
    <w:rsid w:val="00C00D34"/>
    <w:rsid w:val="00C00EDF"/>
    <w:rsid w:val="00C029B2"/>
    <w:rsid w:val="00C034D0"/>
    <w:rsid w:val="00C04E65"/>
    <w:rsid w:val="00C04F43"/>
    <w:rsid w:val="00C05B04"/>
    <w:rsid w:val="00C10594"/>
    <w:rsid w:val="00C11FA2"/>
    <w:rsid w:val="00C12AAF"/>
    <w:rsid w:val="00C13610"/>
    <w:rsid w:val="00C14A0C"/>
    <w:rsid w:val="00C14B7E"/>
    <w:rsid w:val="00C15387"/>
    <w:rsid w:val="00C16DF1"/>
    <w:rsid w:val="00C17326"/>
    <w:rsid w:val="00C179F6"/>
    <w:rsid w:val="00C21726"/>
    <w:rsid w:val="00C22435"/>
    <w:rsid w:val="00C22E4F"/>
    <w:rsid w:val="00C2359E"/>
    <w:rsid w:val="00C24966"/>
    <w:rsid w:val="00C26E07"/>
    <w:rsid w:val="00C272A0"/>
    <w:rsid w:val="00C30CAB"/>
    <w:rsid w:val="00C31619"/>
    <w:rsid w:val="00C31E22"/>
    <w:rsid w:val="00C31F6E"/>
    <w:rsid w:val="00C340E1"/>
    <w:rsid w:val="00C35260"/>
    <w:rsid w:val="00C355D8"/>
    <w:rsid w:val="00C36613"/>
    <w:rsid w:val="00C401DB"/>
    <w:rsid w:val="00C41491"/>
    <w:rsid w:val="00C42AC6"/>
    <w:rsid w:val="00C42CC5"/>
    <w:rsid w:val="00C453CA"/>
    <w:rsid w:val="00C52410"/>
    <w:rsid w:val="00C55BB0"/>
    <w:rsid w:val="00C61D7F"/>
    <w:rsid w:val="00C74F88"/>
    <w:rsid w:val="00C77DED"/>
    <w:rsid w:val="00C82706"/>
    <w:rsid w:val="00C82A59"/>
    <w:rsid w:val="00C87016"/>
    <w:rsid w:val="00C87017"/>
    <w:rsid w:val="00C8752A"/>
    <w:rsid w:val="00C87C09"/>
    <w:rsid w:val="00C92F15"/>
    <w:rsid w:val="00C93119"/>
    <w:rsid w:val="00C95248"/>
    <w:rsid w:val="00C95CB5"/>
    <w:rsid w:val="00C95E4E"/>
    <w:rsid w:val="00C95EDC"/>
    <w:rsid w:val="00C96108"/>
    <w:rsid w:val="00C97029"/>
    <w:rsid w:val="00C9717D"/>
    <w:rsid w:val="00C97429"/>
    <w:rsid w:val="00CA0A36"/>
    <w:rsid w:val="00CA13B1"/>
    <w:rsid w:val="00CA2F72"/>
    <w:rsid w:val="00CA2FCB"/>
    <w:rsid w:val="00CA3B94"/>
    <w:rsid w:val="00CA6A76"/>
    <w:rsid w:val="00CA7D4A"/>
    <w:rsid w:val="00CB0D81"/>
    <w:rsid w:val="00CB2C07"/>
    <w:rsid w:val="00CB399B"/>
    <w:rsid w:val="00CB3D5A"/>
    <w:rsid w:val="00CB626F"/>
    <w:rsid w:val="00CB78CF"/>
    <w:rsid w:val="00CC283E"/>
    <w:rsid w:val="00CC2DD1"/>
    <w:rsid w:val="00CC44E1"/>
    <w:rsid w:val="00CC4C61"/>
    <w:rsid w:val="00CC52F1"/>
    <w:rsid w:val="00CC59CB"/>
    <w:rsid w:val="00CC5B08"/>
    <w:rsid w:val="00CC7632"/>
    <w:rsid w:val="00CD1DF0"/>
    <w:rsid w:val="00CD24C7"/>
    <w:rsid w:val="00CD2FE3"/>
    <w:rsid w:val="00CD3A0F"/>
    <w:rsid w:val="00CD4B5B"/>
    <w:rsid w:val="00CD63BE"/>
    <w:rsid w:val="00CD68B7"/>
    <w:rsid w:val="00CD7B3C"/>
    <w:rsid w:val="00CD7D80"/>
    <w:rsid w:val="00CD7E5D"/>
    <w:rsid w:val="00CE0E1C"/>
    <w:rsid w:val="00CE2069"/>
    <w:rsid w:val="00CE5873"/>
    <w:rsid w:val="00CE65AD"/>
    <w:rsid w:val="00CE75DE"/>
    <w:rsid w:val="00CE7952"/>
    <w:rsid w:val="00CF13F0"/>
    <w:rsid w:val="00CF14E7"/>
    <w:rsid w:val="00CF3AA1"/>
    <w:rsid w:val="00CF57D1"/>
    <w:rsid w:val="00CF6310"/>
    <w:rsid w:val="00CF6C2D"/>
    <w:rsid w:val="00D0135E"/>
    <w:rsid w:val="00D02360"/>
    <w:rsid w:val="00D0446D"/>
    <w:rsid w:val="00D04DEE"/>
    <w:rsid w:val="00D07407"/>
    <w:rsid w:val="00D07D6B"/>
    <w:rsid w:val="00D111F9"/>
    <w:rsid w:val="00D125AA"/>
    <w:rsid w:val="00D128EC"/>
    <w:rsid w:val="00D12BEC"/>
    <w:rsid w:val="00D14746"/>
    <w:rsid w:val="00D151B2"/>
    <w:rsid w:val="00D16876"/>
    <w:rsid w:val="00D16BEA"/>
    <w:rsid w:val="00D20D36"/>
    <w:rsid w:val="00D21833"/>
    <w:rsid w:val="00D223AB"/>
    <w:rsid w:val="00D22E25"/>
    <w:rsid w:val="00D23658"/>
    <w:rsid w:val="00D26858"/>
    <w:rsid w:val="00D27FF6"/>
    <w:rsid w:val="00D326A5"/>
    <w:rsid w:val="00D3279E"/>
    <w:rsid w:val="00D337A8"/>
    <w:rsid w:val="00D35751"/>
    <w:rsid w:val="00D4437B"/>
    <w:rsid w:val="00D4548E"/>
    <w:rsid w:val="00D46D9A"/>
    <w:rsid w:val="00D47A86"/>
    <w:rsid w:val="00D50962"/>
    <w:rsid w:val="00D50E02"/>
    <w:rsid w:val="00D51A79"/>
    <w:rsid w:val="00D5234C"/>
    <w:rsid w:val="00D53996"/>
    <w:rsid w:val="00D53C0D"/>
    <w:rsid w:val="00D53DD9"/>
    <w:rsid w:val="00D5599A"/>
    <w:rsid w:val="00D568D5"/>
    <w:rsid w:val="00D61FCF"/>
    <w:rsid w:val="00D621DB"/>
    <w:rsid w:val="00D62EAF"/>
    <w:rsid w:val="00D636DA"/>
    <w:rsid w:val="00D63869"/>
    <w:rsid w:val="00D639C6"/>
    <w:rsid w:val="00D65B4D"/>
    <w:rsid w:val="00D65DFC"/>
    <w:rsid w:val="00D65EE9"/>
    <w:rsid w:val="00D65FAE"/>
    <w:rsid w:val="00D66059"/>
    <w:rsid w:val="00D66A92"/>
    <w:rsid w:val="00D70818"/>
    <w:rsid w:val="00D71190"/>
    <w:rsid w:val="00D7136A"/>
    <w:rsid w:val="00D71CE0"/>
    <w:rsid w:val="00D721AE"/>
    <w:rsid w:val="00D72BDE"/>
    <w:rsid w:val="00D733A5"/>
    <w:rsid w:val="00D74192"/>
    <w:rsid w:val="00D75577"/>
    <w:rsid w:val="00D80814"/>
    <w:rsid w:val="00D81723"/>
    <w:rsid w:val="00D825C6"/>
    <w:rsid w:val="00D85693"/>
    <w:rsid w:val="00D90CB1"/>
    <w:rsid w:val="00D90F01"/>
    <w:rsid w:val="00D9157D"/>
    <w:rsid w:val="00D930B8"/>
    <w:rsid w:val="00D9329A"/>
    <w:rsid w:val="00D94546"/>
    <w:rsid w:val="00D975BC"/>
    <w:rsid w:val="00D97E54"/>
    <w:rsid w:val="00DA034F"/>
    <w:rsid w:val="00DA1500"/>
    <w:rsid w:val="00DA3582"/>
    <w:rsid w:val="00DA44F1"/>
    <w:rsid w:val="00DA51BB"/>
    <w:rsid w:val="00DB1161"/>
    <w:rsid w:val="00DB2061"/>
    <w:rsid w:val="00DB3B2C"/>
    <w:rsid w:val="00DB3E90"/>
    <w:rsid w:val="00DB48C8"/>
    <w:rsid w:val="00DB4BE4"/>
    <w:rsid w:val="00DB618B"/>
    <w:rsid w:val="00DB6509"/>
    <w:rsid w:val="00DB6B1B"/>
    <w:rsid w:val="00DB79FD"/>
    <w:rsid w:val="00DB7C9F"/>
    <w:rsid w:val="00DC0303"/>
    <w:rsid w:val="00DC2B87"/>
    <w:rsid w:val="00DC6554"/>
    <w:rsid w:val="00DC6BB7"/>
    <w:rsid w:val="00DC7212"/>
    <w:rsid w:val="00DD03CA"/>
    <w:rsid w:val="00DD10BA"/>
    <w:rsid w:val="00DD2A3A"/>
    <w:rsid w:val="00DD399E"/>
    <w:rsid w:val="00DD49F6"/>
    <w:rsid w:val="00DD49F9"/>
    <w:rsid w:val="00DD4EC3"/>
    <w:rsid w:val="00DD579C"/>
    <w:rsid w:val="00DD57EA"/>
    <w:rsid w:val="00DD7006"/>
    <w:rsid w:val="00DE3FF3"/>
    <w:rsid w:val="00DE4AD6"/>
    <w:rsid w:val="00DE4FFC"/>
    <w:rsid w:val="00DE507C"/>
    <w:rsid w:val="00DE6C1C"/>
    <w:rsid w:val="00DE6C68"/>
    <w:rsid w:val="00DF0AAB"/>
    <w:rsid w:val="00DF12D7"/>
    <w:rsid w:val="00DF3B5B"/>
    <w:rsid w:val="00DF405D"/>
    <w:rsid w:val="00DF56E1"/>
    <w:rsid w:val="00DF6275"/>
    <w:rsid w:val="00DF76EB"/>
    <w:rsid w:val="00DF7A02"/>
    <w:rsid w:val="00DF7C6D"/>
    <w:rsid w:val="00E0213D"/>
    <w:rsid w:val="00E028CD"/>
    <w:rsid w:val="00E04978"/>
    <w:rsid w:val="00E04FEC"/>
    <w:rsid w:val="00E106A2"/>
    <w:rsid w:val="00E10961"/>
    <w:rsid w:val="00E10DA6"/>
    <w:rsid w:val="00E1161A"/>
    <w:rsid w:val="00E134F2"/>
    <w:rsid w:val="00E13D5D"/>
    <w:rsid w:val="00E15F22"/>
    <w:rsid w:val="00E1648D"/>
    <w:rsid w:val="00E16886"/>
    <w:rsid w:val="00E16CD5"/>
    <w:rsid w:val="00E17518"/>
    <w:rsid w:val="00E200AF"/>
    <w:rsid w:val="00E20477"/>
    <w:rsid w:val="00E20C21"/>
    <w:rsid w:val="00E219C8"/>
    <w:rsid w:val="00E236DD"/>
    <w:rsid w:val="00E25F9C"/>
    <w:rsid w:val="00E263F0"/>
    <w:rsid w:val="00E272C2"/>
    <w:rsid w:val="00E27A71"/>
    <w:rsid w:val="00E306EA"/>
    <w:rsid w:val="00E32312"/>
    <w:rsid w:val="00E3662B"/>
    <w:rsid w:val="00E401D2"/>
    <w:rsid w:val="00E4156B"/>
    <w:rsid w:val="00E420F3"/>
    <w:rsid w:val="00E42E3C"/>
    <w:rsid w:val="00E4492A"/>
    <w:rsid w:val="00E44A79"/>
    <w:rsid w:val="00E44FFD"/>
    <w:rsid w:val="00E47A50"/>
    <w:rsid w:val="00E5039C"/>
    <w:rsid w:val="00E51C07"/>
    <w:rsid w:val="00E5218D"/>
    <w:rsid w:val="00E5368B"/>
    <w:rsid w:val="00E54255"/>
    <w:rsid w:val="00E54913"/>
    <w:rsid w:val="00E54CB6"/>
    <w:rsid w:val="00E56B7C"/>
    <w:rsid w:val="00E56CB4"/>
    <w:rsid w:val="00E6013A"/>
    <w:rsid w:val="00E6051C"/>
    <w:rsid w:val="00E620F4"/>
    <w:rsid w:val="00E62C9D"/>
    <w:rsid w:val="00E645BB"/>
    <w:rsid w:val="00E65702"/>
    <w:rsid w:val="00E65EC3"/>
    <w:rsid w:val="00E66E35"/>
    <w:rsid w:val="00E676B4"/>
    <w:rsid w:val="00E7106F"/>
    <w:rsid w:val="00E711DF"/>
    <w:rsid w:val="00E7152D"/>
    <w:rsid w:val="00E71AE3"/>
    <w:rsid w:val="00E729A8"/>
    <w:rsid w:val="00E72BB1"/>
    <w:rsid w:val="00E72C52"/>
    <w:rsid w:val="00E72F11"/>
    <w:rsid w:val="00E73A4D"/>
    <w:rsid w:val="00E7425D"/>
    <w:rsid w:val="00E74427"/>
    <w:rsid w:val="00E75EDD"/>
    <w:rsid w:val="00E76C43"/>
    <w:rsid w:val="00E76C6E"/>
    <w:rsid w:val="00E77C4C"/>
    <w:rsid w:val="00E77FDD"/>
    <w:rsid w:val="00E828D0"/>
    <w:rsid w:val="00E8388E"/>
    <w:rsid w:val="00E85D68"/>
    <w:rsid w:val="00E87735"/>
    <w:rsid w:val="00E9042C"/>
    <w:rsid w:val="00E9218C"/>
    <w:rsid w:val="00E93691"/>
    <w:rsid w:val="00E93F24"/>
    <w:rsid w:val="00E95C81"/>
    <w:rsid w:val="00E95F24"/>
    <w:rsid w:val="00E96DD1"/>
    <w:rsid w:val="00E96F5F"/>
    <w:rsid w:val="00E979D5"/>
    <w:rsid w:val="00E97F21"/>
    <w:rsid w:val="00EA011C"/>
    <w:rsid w:val="00EA199E"/>
    <w:rsid w:val="00EA47C5"/>
    <w:rsid w:val="00EA7B76"/>
    <w:rsid w:val="00EB169F"/>
    <w:rsid w:val="00EB2906"/>
    <w:rsid w:val="00EB416C"/>
    <w:rsid w:val="00EB5750"/>
    <w:rsid w:val="00EB5BB6"/>
    <w:rsid w:val="00EB62FE"/>
    <w:rsid w:val="00EB6AAA"/>
    <w:rsid w:val="00EC0E29"/>
    <w:rsid w:val="00EC2250"/>
    <w:rsid w:val="00EC3831"/>
    <w:rsid w:val="00EC3E8A"/>
    <w:rsid w:val="00EC4018"/>
    <w:rsid w:val="00EC449F"/>
    <w:rsid w:val="00EC5FCF"/>
    <w:rsid w:val="00ED0068"/>
    <w:rsid w:val="00ED1207"/>
    <w:rsid w:val="00ED430E"/>
    <w:rsid w:val="00ED5AEA"/>
    <w:rsid w:val="00EE0AA7"/>
    <w:rsid w:val="00EE2A06"/>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2946"/>
    <w:rsid w:val="00F0581A"/>
    <w:rsid w:val="00F06B34"/>
    <w:rsid w:val="00F12E7A"/>
    <w:rsid w:val="00F137AE"/>
    <w:rsid w:val="00F13E1A"/>
    <w:rsid w:val="00F14A8C"/>
    <w:rsid w:val="00F16C58"/>
    <w:rsid w:val="00F17404"/>
    <w:rsid w:val="00F17E7C"/>
    <w:rsid w:val="00F21166"/>
    <w:rsid w:val="00F23E23"/>
    <w:rsid w:val="00F24293"/>
    <w:rsid w:val="00F24602"/>
    <w:rsid w:val="00F26307"/>
    <w:rsid w:val="00F273F6"/>
    <w:rsid w:val="00F27CDE"/>
    <w:rsid w:val="00F27D5A"/>
    <w:rsid w:val="00F31F75"/>
    <w:rsid w:val="00F33010"/>
    <w:rsid w:val="00F33874"/>
    <w:rsid w:val="00F344BF"/>
    <w:rsid w:val="00F353A6"/>
    <w:rsid w:val="00F35823"/>
    <w:rsid w:val="00F35881"/>
    <w:rsid w:val="00F35A5B"/>
    <w:rsid w:val="00F36137"/>
    <w:rsid w:val="00F361C5"/>
    <w:rsid w:val="00F4071A"/>
    <w:rsid w:val="00F43011"/>
    <w:rsid w:val="00F43C57"/>
    <w:rsid w:val="00F44A8E"/>
    <w:rsid w:val="00F474E0"/>
    <w:rsid w:val="00F5101A"/>
    <w:rsid w:val="00F5270A"/>
    <w:rsid w:val="00F52A24"/>
    <w:rsid w:val="00F52DB8"/>
    <w:rsid w:val="00F6017C"/>
    <w:rsid w:val="00F60DD4"/>
    <w:rsid w:val="00F60E55"/>
    <w:rsid w:val="00F61C58"/>
    <w:rsid w:val="00F635B6"/>
    <w:rsid w:val="00F63DD9"/>
    <w:rsid w:val="00F675BA"/>
    <w:rsid w:val="00F7048F"/>
    <w:rsid w:val="00F70C15"/>
    <w:rsid w:val="00F70D0E"/>
    <w:rsid w:val="00F71624"/>
    <w:rsid w:val="00F72F3A"/>
    <w:rsid w:val="00F73787"/>
    <w:rsid w:val="00F739A9"/>
    <w:rsid w:val="00F73ACC"/>
    <w:rsid w:val="00F751FA"/>
    <w:rsid w:val="00F7535C"/>
    <w:rsid w:val="00F75BE5"/>
    <w:rsid w:val="00F809D9"/>
    <w:rsid w:val="00F80D78"/>
    <w:rsid w:val="00F80FE6"/>
    <w:rsid w:val="00F8506D"/>
    <w:rsid w:val="00F8556F"/>
    <w:rsid w:val="00F85FA8"/>
    <w:rsid w:val="00F86290"/>
    <w:rsid w:val="00F8657F"/>
    <w:rsid w:val="00F8676C"/>
    <w:rsid w:val="00F86815"/>
    <w:rsid w:val="00F86B59"/>
    <w:rsid w:val="00F86BA5"/>
    <w:rsid w:val="00F91278"/>
    <w:rsid w:val="00F92EA8"/>
    <w:rsid w:val="00F93369"/>
    <w:rsid w:val="00F95C68"/>
    <w:rsid w:val="00F95E65"/>
    <w:rsid w:val="00F963CF"/>
    <w:rsid w:val="00F9756F"/>
    <w:rsid w:val="00FA225D"/>
    <w:rsid w:val="00FA39D5"/>
    <w:rsid w:val="00FA42AD"/>
    <w:rsid w:val="00FA4837"/>
    <w:rsid w:val="00FA6989"/>
    <w:rsid w:val="00FA7F17"/>
    <w:rsid w:val="00FB14BA"/>
    <w:rsid w:val="00FB2D74"/>
    <w:rsid w:val="00FB307C"/>
    <w:rsid w:val="00FB45D0"/>
    <w:rsid w:val="00FB49C6"/>
    <w:rsid w:val="00FB5507"/>
    <w:rsid w:val="00FB6031"/>
    <w:rsid w:val="00FB6EF6"/>
    <w:rsid w:val="00FC077E"/>
    <w:rsid w:val="00FC12F2"/>
    <w:rsid w:val="00FC1508"/>
    <w:rsid w:val="00FC1A14"/>
    <w:rsid w:val="00FC2A82"/>
    <w:rsid w:val="00FC39B6"/>
    <w:rsid w:val="00FC72E9"/>
    <w:rsid w:val="00FD17DB"/>
    <w:rsid w:val="00FD2D1F"/>
    <w:rsid w:val="00FD38CD"/>
    <w:rsid w:val="00FD3A31"/>
    <w:rsid w:val="00FD4746"/>
    <w:rsid w:val="00FD5C28"/>
    <w:rsid w:val="00FD60AE"/>
    <w:rsid w:val="00FD6DD0"/>
    <w:rsid w:val="00FD72AA"/>
    <w:rsid w:val="00FD7551"/>
    <w:rsid w:val="00FD7857"/>
    <w:rsid w:val="00FE0941"/>
    <w:rsid w:val="00FE33EC"/>
    <w:rsid w:val="00FE3DB8"/>
    <w:rsid w:val="00FE4024"/>
    <w:rsid w:val="00FE423B"/>
    <w:rsid w:val="00FE46B3"/>
    <w:rsid w:val="00FE48FC"/>
    <w:rsid w:val="00FE565F"/>
    <w:rsid w:val="00FE640A"/>
    <w:rsid w:val="00FE7B9C"/>
    <w:rsid w:val="00FE7BFD"/>
    <w:rsid w:val="00FE7FF6"/>
    <w:rsid w:val="00FF0B07"/>
    <w:rsid w:val="00FF0DE4"/>
    <w:rsid w:val="00FF48E6"/>
    <w:rsid w:val="00FF4908"/>
    <w:rsid w:val="00FF4B3D"/>
    <w:rsid w:val="00FF6799"/>
    <w:rsid w:val="00FF75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D5"/>
    <w:pPr>
      <w:spacing w:after="200" w:line="276" w:lineRule="auto"/>
    </w:pPr>
    <w:rPr>
      <w:rFonts w:cs="Calibri"/>
    </w:rPr>
  </w:style>
  <w:style w:type="paragraph" w:styleId="Heading1">
    <w:name w:val="heading 1"/>
    <w:basedOn w:val="Normal"/>
    <w:next w:val="Normal"/>
    <w:link w:val="Heading1Char"/>
    <w:uiPriority w:val="99"/>
    <w:qFormat/>
    <w:rsid w:val="003A34D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locked/>
    <w:rsid w:val="003A34D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34D5"/>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3A34D5"/>
    <w:rPr>
      <w:rFonts w:ascii="Cambria" w:hAnsi="Cambria" w:cs="Cambria"/>
      <w:b/>
      <w:bCs/>
      <w:i/>
      <w:iCs/>
      <w:sz w:val="28"/>
      <w:szCs w:val="28"/>
    </w:rPr>
  </w:style>
  <w:style w:type="paragraph" w:styleId="TOC1">
    <w:name w:val="toc 1"/>
    <w:basedOn w:val="Normal"/>
    <w:next w:val="Normal"/>
    <w:autoRedefine/>
    <w:uiPriority w:val="99"/>
    <w:semiHidden/>
    <w:rsid w:val="003A34D5"/>
    <w:pPr>
      <w:spacing w:after="100"/>
    </w:pPr>
  </w:style>
  <w:style w:type="character" w:styleId="Hyperlink">
    <w:name w:val="Hyperlink"/>
    <w:basedOn w:val="DefaultParagraphFont"/>
    <w:uiPriority w:val="99"/>
    <w:rsid w:val="003A34D5"/>
    <w:rPr>
      <w:color w:val="0000FF"/>
      <w:u w:val="single"/>
    </w:rPr>
  </w:style>
  <w:style w:type="table" w:styleId="TableGrid">
    <w:name w:val="Table Grid"/>
    <w:basedOn w:val="TableNormal"/>
    <w:uiPriority w:val="99"/>
    <w:locked/>
    <w:rsid w:val="003A34D5"/>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locked/>
    <w:rsid w:val="003A34D5"/>
    <w:pPr>
      <w:spacing w:after="0" w:line="240" w:lineRule="auto"/>
    </w:pPr>
    <w:rPr>
      <w:rFonts w:ascii="Times New Roman" w:hAnsi="Times New Roman" w:cs="Times New Roman"/>
      <w:b/>
      <w:bCs/>
      <w:sz w:val="20"/>
      <w:szCs w:val="20"/>
    </w:rPr>
  </w:style>
  <w:style w:type="paragraph" w:styleId="Header">
    <w:name w:val="header"/>
    <w:basedOn w:val="Normal"/>
    <w:link w:val="HeaderChar"/>
    <w:uiPriority w:val="99"/>
    <w:rsid w:val="003A34D5"/>
    <w:pPr>
      <w:tabs>
        <w:tab w:val="center" w:pos="4320"/>
        <w:tab w:val="right" w:pos="8640"/>
      </w:tabs>
    </w:pPr>
  </w:style>
  <w:style w:type="character" w:customStyle="1" w:styleId="HeaderChar">
    <w:name w:val="Header Char"/>
    <w:basedOn w:val="DefaultParagraphFont"/>
    <w:link w:val="Header"/>
    <w:uiPriority w:val="99"/>
    <w:semiHidden/>
    <w:locked/>
    <w:rsid w:val="003A34D5"/>
  </w:style>
  <w:style w:type="paragraph" w:styleId="Footer">
    <w:name w:val="footer"/>
    <w:basedOn w:val="Normal"/>
    <w:link w:val="FooterChar"/>
    <w:uiPriority w:val="99"/>
    <w:rsid w:val="003A34D5"/>
    <w:pPr>
      <w:tabs>
        <w:tab w:val="center" w:pos="4320"/>
        <w:tab w:val="right" w:pos="8640"/>
      </w:tabs>
    </w:pPr>
  </w:style>
  <w:style w:type="character" w:customStyle="1" w:styleId="FooterChar">
    <w:name w:val="Footer Char"/>
    <w:basedOn w:val="DefaultParagraphFont"/>
    <w:link w:val="Footer"/>
    <w:uiPriority w:val="99"/>
    <w:semiHidden/>
    <w:locked/>
    <w:rsid w:val="003A34D5"/>
  </w:style>
  <w:style w:type="character" w:styleId="PageNumber">
    <w:name w:val="page number"/>
    <w:basedOn w:val="DefaultParagraphFont"/>
    <w:uiPriority w:val="99"/>
    <w:rsid w:val="003A34D5"/>
  </w:style>
  <w:style w:type="paragraph" w:styleId="TOC2">
    <w:name w:val="toc 2"/>
    <w:basedOn w:val="Normal"/>
    <w:next w:val="Normal"/>
    <w:autoRedefine/>
    <w:uiPriority w:val="99"/>
    <w:semiHidden/>
    <w:locked/>
    <w:rsid w:val="003A34D5"/>
    <w:pPr>
      <w:ind w:left="220"/>
    </w:pPr>
  </w:style>
  <w:style w:type="paragraph" w:styleId="DocumentMap">
    <w:name w:val="Document Map"/>
    <w:basedOn w:val="Normal"/>
    <w:link w:val="DocumentMapChar"/>
    <w:uiPriority w:val="99"/>
    <w:semiHidden/>
    <w:rsid w:val="003A34D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A34D5"/>
    <w:rPr>
      <w:rFonts w:ascii="Tahoma" w:hAnsi="Tahoma" w:cs="Tahoma"/>
      <w:sz w:val="16"/>
      <w:szCs w:val="16"/>
    </w:rPr>
  </w:style>
  <w:style w:type="paragraph" w:styleId="ListParagraph">
    <w:name w:val="List Paragraph"/>
    <w:basedOn w:val="Normal"/>
    <w:uiPriority w:val="99"/>
    <w:qFormat/>
    <w:rsid w:val="003A34D5"/>
    <w:pPr>
      <w:ind w:left="720"/>
    </w:pPr>
  </w:style>
  <w:style w:type="paragraph" w:styleId="EnvelopeReturn">
    <w:name w:val="envelope return"/>
    <w:basedOn w:val="Normal"/>
    <w:uiPriority w:val="99"/>
    <w:rsid w:val="005D550A"/>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742919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wichc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orwichct.org/communitydevelopmen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orwichct.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457</TotalTime>
  <Pages>25</Pages>
  <Words>4050</Words>
  <Characters>23087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Gevans</cp:lastModifiedBy>
  <cp:revision>3</cp:revision>
  <cp:lastPrinted>2013-07-08T14:17:00Z</cp:lastPrinted>
  <dcterms:created xsi:type="dcterms:W3CDTF">2013-07-08T14:18:00Z</dcterms:created>
  <dcterms:modified xsi:type="dcterms:W3CDTF">2013-07-15T13:37:00Z</dcterms:modified>
</cp:coreProperties>
</file>